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B0B27" w:rsidRPr="00D10148" w:rsidRDefault="000B0B27" w:rsidP="000B0B27">
      <w:pPr>
        <w:jc w:val="both"/>
        <w:rPr>
          <w:rFonts w:ascii="Times New Roman" w:hAnsi="Times New Roman"/>
          <w:b/>
          <w:sz w:val="24"/>
        </w:rPr>
      </w:pPr>
      <w:r w:rsidRPr="00D10148">
        <w:rPr>
          <w:rFonts w:ascii="Times New Roman" w:hAnsi="Times New Roman"/>
          <w:b/>
          <w:sz w:val="24"/>
        </w:rPr>
        <w:t>ТЕМА 9.    СТРАТЕГИЧЕСКИЙ АНАЛИЗ ДИВЕРСИФИЦИРОВАННЫХ КОМПАНИЙ</w:t>
      </w:r>
    </w:p>
    <w:p w:rsidR="000B0B27" w:rsidRPr="00D10148" w:rsidRDefault="000B0B27" w:rsidP="000B0B27">
      <w:pPr>
        <w:jc w:val="both"/>
        <w:rPr>
          <w:rFonts w:ascii="Times New Roman" w:hAnsi="Times New Roman"/>
          <w:b/>
          <w:sz w:val="24"/>
        </w:rPr>
      </w:pPr>
    </w:p>
    <w:p w:rsidR="000B0B27" w:rsidRPr="00D10148" w:rsidRDefault="000B0B27" w:rsidP="000B0B27">
      <w:pPr>
        <w:jc w:val="both"/>
        <w:rPr>
          <w:rFonts w:ascii="Times New Roman" w:hAnsi="Times New Roman"/>
          <w:sz w:val="24"/>
        </w:rPr>
      </w:pPr>
      <w:r w:rsidRPr="00D10148">
        <w:rPr>
          <w:rFonts w:ascii="Times New Roman" w:hAnsi="Times New Roman"/>
          <w:sz w:val="24"/>
        </w:rPr>
        <w:t xml:space="preserve">1.Процесс стратегического анализа диверсифицированных компаний. Портфельный анализ диверсифицированных компаний. </w:t>
      </w:r>
    </w:p>
    <w:p w:rsidR="000B0B27" w:rsidRPr="00D10148" w:rsidRDefault="000B0B27" w:rsidP="000B0B27">
      <w:pPr>
        <w:jc w:val="both"/>
        <w:rPr>
          <w:rFonts w:ascii="Times New Roman" w:hAnsi="Times New Roman"/>
          <w:sz w:val="24"/>
        </w:rPr>
      </w:pPr>
      <w:r w:rsidRPr="00D10148">
        <w:rPr>
          <w:rFonts w:ascii="Times New Roman" w:hAnsi="Times New Roman"/>
          <w:sz w:val="24"/>
        </w:rPr>
        <w:t>2.Оценка диверсифицированного портфеля с использованием матричного анализа. Матрица «рост/доля» Boston Consulting Group. Матрица «привлекательность отрасли/положение в конкуренции» McKincey-GeneralElectric. Матрица жизненного цикла отрасли Hofer/A.D.Little.</w:t>
      </w:r>
    </w:p>
    <w:p w:rsidR="000B0B27" w:rsidRPr="00D10148" w:rsidRDefault="000B0B27" w:rsidP="000B0B27">
      <w:pPr>
        <w:jc w:val="both"/>
        <w:rPr>
          <w:rFonts w:ascii="Times New Roman" w:hAnsi="Times New Roman"/>
          <w:sz w:val="24"/>
        </w:rPr>
      </w:pPr>
    </w:p>
    <w:p w:rsidR="000B0B27" w:rsidRPr="00D10148" w:rsidRDefault="000B0B27" w:rsidP="000B0B27">
      <w:pPr>
        <w:shd w:val="clear" w:color="auto" w:fill="FFFFFF"/>
        <w:jc w:val="both"/>
        <w:rPr>
          <w:rFonts w:ascii="Times New Roman" w:hAnsi="Times New Roman"/>
          <w:b/>
          <w:spacing w:val="-3"/>
          <w:sz w:val="24"/>
          <w:lang w:val="kk-KZ"/>
        </w:rPr>
      </w:pPr>
    </w:p>
    <w:p w:rsidR="000B0B27" w:rsidRPr="00D10148" w:rsidRDefault="000B0B27" w:rsidP="000B0B27">
      <w:pPr>
        <w:shd w:val="clear" w:color="auto" w:fill="FFFFFF"/>
        <w:jc w:val="both"/>
        <w:rPr>
          <w:rFonts w:ascii="Times New Roman" w:hAnsi="Times New Roman"/>
          <w:b/>
          <w:spacing w:val="-3"/>
          <w:sz w:val="24"/>
          <w:lang w:val="kk-KZ"/>
        </w:rPr>
      </w:pPr>
    </w:p>
    <w:p w:rsidR="000B0B27" w:rsidRPr="00D10148" w:rsidRDefault="000B0B27" w:rsidP="000B0B27">
      <w:pPr>
        <w:shd w:val="clear" w:color="auto" w:fill="FFFFFF"/>
        <w:jc w:val="both"/>
        <w:rPr>
          <w:rFonts w:ascii="Times New Roman" w:hAnsi="Times New Roman"/>
          <w:b/>
          <w:spacing w:val="-3"/>
          <w:sz w:val="24"/>
        </w:rPr>
      </w:pPr>
      <w:r w:rsidRPr="00D10148">
        <w:rPr>
          <w:rFonts w:ascii="Times New Roman" w:hAnsi="Times New Roman"/>
          <w:b/>
          <w:spacing w:val="-3"/>
          <w:sz w:val="24"/>
        </w:rPr>
        <w:t xml:space="preserve">1.Процесс стратегического анализа диверсифицированных компаний. Портфельный анализ диверсифицированных компаний. </w:t>
      </w:r>
    </w:p>
    <w:p w:rsidR="000B0B27" w:rsidRPr="00D10148" w:rsidRDefault="000B0B27" w:rsidP="000B0B27">
      <w:pPr>
        <w:shd w:val="clear" w:color="auto" w:fill="FFFFFF"/>
        <w:jc w:val="both"/>
        <w:rPr>
          <w:rFonts w:ascii="Times New Roman" w:hAnsi="Times New Roman"/>
          <w:b/>
          <w:spacing w:val="-3"/>
          <w:sz w:val="24"/>
        </w:rPr>
      </w:pPr>
    </w:p>
    <w:p w:rsidR="000B0B27" w:rsidRPr="00D10148" w:rsidRDefault="000B0B27" w:rsidP="000B0B27">
      <w:pPr>
        <w:rPr>
          <w:rFonts w:ascii="Times New Roman" w:hAnsi="Times New Roman"/>
          <w:sz w:val="24"/>
        </w:rPr>
      </w:pPr>
      <w:r w:rsidRPr="00D10148">
        <w:rPr>
          <w:rFonts w:ascii="Times New Roman" w:hAnsi="Times New Roman"/>
          <w:sz w:val="24"/>
        </w:rPr>
        <w:t>Стратегический анализ диверсифицированной компании получил название портфельного анализа.</w:t>
      </w:r>
    </w:p>
    <w:p w:rsidR="000B0B27" w:rsidRPr="00D10148" w:rsidRDefault="000B0B27" w:rsidP="000B0B27">
      <w:pPr>
        <w:rPr>
          <w:rFonts w:ascii="Times New Roman" w:hAnsi="Times New Roman"/>
          <w:sz w:val="24"/>
        </w:rPr>
      </w:pPr>
      <w:r w:rsidRPr="00D10148">
        <w:rPr>
          <w:rFonts w:ascii="Times New Roman" w:hAnsi="Times New Roman"/>
          <w:sz w:val="24"/>
        </w:rPr>
        <w:t>Портфель предприятия, или корпоративный портфель, – это совокупность относительно самостоятельных хозяйственных подразделений (стратегических единиц бизнеса), принадлежащих одному владельцу. Портфельный анализ – это инструмент, с помощью которого руководство предприятия выявляет и оценивает свою хозяйственную деятельность с целью вложения средств в наиболее прибыльные или перспективные ее направления и сокращения/ прекращения инвестиций в неэффективные проекты. При этом оценивается относительная привлекательность рынков и конкурентоспособность предприятия на каждом из этих рынков. Предполагается, что портфель компании должен быть сбалансирован, т.е. должно быть обеспечено правильное сочетание продуктов, испытывающих потребность в капитале для дальнейшего развития, с хозяйственными единицами, располагающими некоторым избытком капитала.</w:t>
      </w:r>
    </w:p>
    <w:p w:rsidR="000B0B27" w:rsidRPr="00D10148" w:rsidRDefault="000B0B27" w:rsidP="000B0B27">
      <w:pPr>
        <w:rPr>
          <w:rFonts w:ascii="Times New Roman" w:hAnsi="Times New Roman"/>
          <w:sz w:val="24"/>
        </w:rPr>
      </w:pPr>
      <w:r w:rsidRPr="00D10148">
        <w:rPr>
          <w:rFonts w:ascii="Times New Roman" w:hAnsi="Times New Roman"/>
          <w:sz w:val="24"/>
        </w:rPr>
        <w:t>Цель портфельного анализа – согласование бизнес-стратегий и распределение финансовых ресурсов между хозяйственными подразделениями компании. Процесс нормального анализа включает четыре этапа и осуществляется по следующей схеме.</w:t>
      </w:r>
    </w:p>
    <w:p w:rsidR="000B0B27" w:rsidRPr="00D10148" w:rsidRDefault="000B0B27" w:rsidP="000B0B27">
      <w:pPr>
        <w:rPr>
          <w:rFonts w:ascii="Times New Roman" w:hAnsi="Times New Roman"/>
          <w:sz w:val="24"/>
        </w:rPr>
      </w:pPr>
      <w:r w:rsidRPr="00D10148">
        <w:rPr>
          <w:rFonts w:ascii="Times New Roman" w:hAnsi="Times New Roman"/>
          <w:sz w:val="24"/>
        </w:rPr>
        <w:t>1. Все виды деятельности предприятия (номенклатура продукции) разбиваются на стратегические единицы бизнеса.</w:t>
      </w:r>
    </w:p>
    <w:p w:rsidR="000B0B27" w:rsidRPr="00D10148" w:rsidRDefault="000B0B27" w:rsidP="000B0B27">
      <w:pPr>
        <w:rPr>
          <w:rFonts w:ascii="Times New Roman" w:hAnsi="Times New Roman"/>
          <w:sz w:val="24"/>
        </w:rPr>
      </w:pPr>
      <w:r w:rsidRPr="00D10148">
        <w:rPr>
          <w:rFonts w:ascii="Times New Roman" w:hAnsi="Times New Roman"/>
          <w:sz w:val="24"/>
        </w:rPr>
        <w:t>2. Определяется относительная конкурентоспособность отдельных бизнес-единиц и перспективы развития соответствующих рынков.</w:t>
      </w:r>
    </w:p>
    <w:p w:rsidR="000B0B27" w:rsidRPr="00D10148" w:rsidRDefault="000B0B27" w:rsidP="000B0B27">
      <w:pPr>
        <w:rPr>
          <w:rFonts w:ascii="Times New Roman" w:hAnsi="Times New Roman"/>
          <w:sz w:val="24"/>
        </w:rPr>
      </w:pPr>
      <w:r w:rsidRPr="00D10148">
        <w:rPr>
          <w:rFonts w:ascii="Times New Roman" w:hAnsi="Times New Roman"/>
          <w:sz w:val="24"/>
        </w:rPr>
        <w:t>3. Разрабатывается стратегия каждой бизнес-единицы, и хозяйственные подразделения со схожими стратегиями объединяются в однородные групп</w:t>
      </w:r>
    </w:p>
    <w:p w:rsidR="000B0B27" w:rsidRPr="00D10148" w:rsidRDefault="000B0B27" w:rsidP="000B0B27">
      <w:pPr>
        <w:rPr>
          <w:rFonts w:ascii="Times New Roman" w:hAnsi="Times New Roman"/>
          <w:sz w:val="24"/>
        </w:rPr>
      </w:pPr>
      <w:r w:rsidRPr="00D10148">
        <w:rPr>
          <w:rFonts w:ascii="Times New Roman" w:hAnsi="Times New Roman"/>
          <w:sz w:val="24"/>
        </w:rPr>
        <w:t>4. Руководство оценивает стратегии всех подразделений с точки зрения их соответствия корпоративной стратегии, соизмеряя прибыль и ресурсы, потребные каждому подразделению, с помощью матриц портфельного анализа. При этом важно подчеркнуть, что матрицы анализа портфеля бизнесов сами по себе не являются инструментом принятия решения. Они только показывают состояние портфеля бизнесов, которое должно учитываться руководством при принятии решения.</w:t>
      </w:r>
    </w:p>
    <w:p w:rsidR="000B0B27" w:rsidRPr="00D10148" w:rsidRDefault="000B0B27" w:rsidP="000B0B27">
      <w:pPr>
        <w:rPr>
          <w:rFonts w:ascii="Times New Roman" w:hAnsi="Times New Roman"/>
          <w:sz w:val="24"/>
        </w:rPr>
      </w:pPr>
      <w:r w:rsidRPr="00D10148">
        <w:rPr>
          <w:rFonts w:ascii="Times New Roman" w:hAnsi="Times New Roman"/>
          <w:sz w:val="24"/>
        </w:rPr>
        <w:t>Наиболее известны два подхода:</w:t>
      </w:r>
    </w:p>
    <w:p w:rsidR="000B0B27" w:rsidRPr="00D10148" w:rsidRDefault="000B0B27" w:rsidP="000B0B27">
      <w:pPr>
        <w:rPr>
          <w:rFonts w:ascii="Times New Roman" w:hAnsi="Times New Roman"/>
          <w:sz w:val="24"/>
        </w:rPr>
      </w:pPr>
      <w:r w:rsidRPr="00D10148">
        <w:rPr>
          <w:rFonts w:ascii="Times New Roman" w:hAnsi="Times New Roman"/>
          <w:sz w:val="24"/>
        </w:rPr>
        <w:t>• портфельная матрица Бостонской консультационной группы, или матрица БКГ;</w:t>
      </w:r>
    </w:p>
    <w:p w:rsidR="000B0B27" w:rsidRPr="00D10148" w:rsidRDefault="000B0B27" w:rsidP="000B0B27">
      <w:pPr>
        <w:rPr>
          <w:rFonts w:ascii="Times New Roman" w:hAnsi="Times New Roman"/>
          <w:sz w:val="24"/>
        </w:rPr>
      </w:pPr>
      <w:r w:rsidRPr="00D10148">
        <w:rPr>
          <w:rFonts w:ascii="Times New Roman" w:hAnsi="Times New Roman"/>
          <w:sz w:val="24"/>
        </w:rPr>
        <w:t>• матрица Мс Кinсеу, или «экран бизнеса».</w:t>
      </w:r>
    </w:p>
    <w:p w:rsidR="000B0B27" w:rsidRPr="00D10148" w:rsidRDefault="000B0B27" w:rsidP="000B0B27">
      <w:pPr>
        <w:rPr>
          <w:rFonts w:ascii="Times New Roman" w:hAnsi="Times New Roman"/>
          <w:sz w:val="24"/>
        </w:rPr>
      </w:pPr>
      <w:r w:rsidRPr="00D10148">
        <w:rPr>
          <w:rFonts w:ascii="Times New Roman" w:hAnsi="Times New Roman"/>
          <w:sz w:val="24"/>
        </w:rPr>
        <w:t>• матрица БКГ. В основе Бостонской матрицы лежит модель жизненного цикла товара, в соответствии с которой товар в своем развитии проходит четыре стадии: выход на рынок (товар – «проблема»), рост (товар – «звезда»), зрелость (товар – «дойная корова») и спад (товар – «собака»).</w:t>
      </w:r>
    </w:p>
    <w:p w:rsidR="000B0B27" w:rsidRPr="00D10148" w:rsidRDefault="000B0B27" w:rsidP="000B0B27">
      <w:pPr>
        <w:rPr>
          <w:rFonts w:ascii="Times New Roman" w:hAnsi="Times New Roman"/>
          <w:sz w:val="24"/>
        </w:rPr>
      </w:pPr>
      <w:r w:rsidRPr="00D10148">
        <w:rPr>
          <w:rFonts w:ascii="Times New Roman" w:hAnsi="Times New Roman"/>
          <w:sz w:val="24"/>
        </w:rPr>
        <w:t>Для оценки конкурентоспособности отдельных видов бизнеса используются два критерия: темп роста отраслевого рынка; относительная доля рынка.</w:t>
      </w:r>
    </w:p>
    <w:p w:rsidR="000B0B27" w:rsidRPr="00D10148" w:rsidRDefault="000B0B27" w:rsidP="000B0B27">
      <w:pPr>
        <w:rPr>
          <w:rFonts w:ascii="Times New Roman" w:hAnsi="Times New Roman"/>
          <w:sz w:val="24"/>
        </w:rPr>
      </w:pPr>
      <w:r w:rsidRPr="00D10148">
        <w:rPr>
          <w:rFonts w:ascii="Times New Roman" w:hAnsi="Times New Roman"/>
          <w:sz w:val="24"/>
        </w:rPr>
        <w:lastRenderedPageBreak/>
        <w:t>Темп роста рынка определяется как средневзвешенное значение темпов роста различных сегментов рынка, в которых действует предприятие, или принимается равным темпу роста валового национального продукта. Темпы роста отрасли 10% и более рассматриваются как высокие.</w:t>
      </w:r>
    </w:p>
    <w:p w:rsidR="000B0B27" w:rsidRPr="00D10148" w:rsidRDefault="000B0B27" w:rsidP="000B0B27">
      <w:pPr>
        <w:rPr>
          <w:rFonts w:ascii="Times New Roman" w:hAnsi="Times New Roman"/>
          <w:sz w:val="24"/>
        </w:rPr>
      </w:pPr>
    </w:p>
    <w:p w:rsidR="000B0B27" w:rsidRPr="00D10148" w:rsidRDefault="000B0B27" w:rsidP="000B0B27">
      <w:pPr>
        <w:rPr>
          <w:rFonts w:ascii="Times New Roman" w:hAnsi="Times New Roman"/>
          <w:sz w:val="24"/>
        </w:rPr>
      </w:pPr>
      <w:r w:rsidRPr="00D10148">
        <w:rPr>
          <w:rFonts w:ascii="Times New Roman" w:hAnsi="Times New Roman"/>
          <w:sz w:val="24"/>
        </w:rPr>
        <w:t>2.Оценка диверсифицированного портфеля с использованием матричного анализа. Матрица «рост/доля» Boston Consulting Group. Матрица «привлекательность отрасли/положение в конкуренции» McKincey-GeneralElectric. Матрица жизненного цикла отрасли Hofer/A.D.Little.</w:t>
      </w:r>
    </w:p>
    <w:p w:rsidR="000B0B27" w:rsidRPr="00D10148" w:rsidRDefault="000B0B27" w:rsidP="000B0B27">
      <w:pPr>
        <w:rPr>
          <w:rFonts w:ascii="Times New Roman" w:hAnsi="Times New Roman"/>
          <w:sz w:val="24"/>
        </w:rPr>
      </w:pPr>
    </w:p>
    <w:p w:rsidR="000B0B27" w:rsidRPr="00D10148" w:rsidRDefault="000B0B27" w:rsidP="000B0B27">
      <w:pPr>
        <w:rPr>
          <w:rFonts w:ascii="Times New Roman" w:hAnsi="Times New Roman"/>
          <w:sz w:val="24"/>
        </w:rPr>
      </w:pPr>
    </w:p>
    <w:p w:rsidR="000B0B27" w:rsidRPr="00D10148" w:rsidRDefault="000B0B27" w:rsidP="000B0B27">
      <w:pPr>
        <w:rPr>
          <w:rFonts w:ascii="Times New Roman" w:hAnsi="Times New Roman"/>
          <w:sz w:val="24"/>
        </w:rPr>
      </w:pPr>
      <w:r w:rsidRPr="00D10148">
        <w:rPr>
          <w:rFonts w:ascii="Times New Roman" w:hAnsi="Times New Roman"/>
          <w:sz w:val="24"/>
        </w:rPr>
        <w:t>Одним из наиболее распространенных методов оценки качества видов деятельности диверсифицированной компании является матричный анализ ее хозяйственного портфеля.</w:t>
      </w:r>
    </w:p>
    <w:p w:rsidR="000B0B27" w:rsidRPr="00D10148" w:rsidRDefault="000B0B27" w:rsidP="000B0B27">
      <w:pPr>
        <w:rPr>
          <w:rFonts w:ascii="Times New Roman" w:hAnsi="Times New Roman"/>
          <w:sz w:val="24"/>
        </w:rPr>
      </w:pPr>
      <w:r w:rsidRPr="00D10148">
        <w:rPr>
          <w:rFonts w:ascii="Times New Roman" w:hAnsi="Times New Roman"/>
          <w:sz w:val="24"/>
        </w:rPr>
        <w:t>Относительная доля рынка определяется делением доли рынка рассматриваемого бизнеса на долю рынка крупнейшего конкурента.</w:t>
      </w:r>
    </w:p>
    <w:p w:rsidR="000B0B27" w:rsidRPr="00D10148" w:rsidRDefault="000B0B27" w:rsidP="000B0B27">
      <w:pPr>
        <w:rPr>
          <w:rFonts w:ascii="Times New Roman" w:hAnsi="Times New Roman"/>
          <w:sz w:val="24"/>
        </w:rPr>
      </w:pPr>
      <w:r w:rsidRPr="00D10148">
        <w:rPr>
          <w:rFonts w:ascii="Times New Roman" w:hAnsi="Times New Roman"/>
          <w:noProof/>
          <w:sz w:val="24"/>
        </w:rPr>
        <w:drawing>
          <wp:inline distT="0" distB="0" distL="0" distR="0" wp14:anchorId="7966F143" wp14:editId="7D427D8A">
            <wp:extent cx="4179570" cy="2524125"/>
            <wp:effectExtent l="0" t="0" r="0" b="9525"/>
            <wp:docPr id="289" name="Рисунок 289" descr="Матрица рост / доля рынка БКГ"/>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descr="Матрица рост / доля рынка БКГ"/>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4179570" cy="2524125"/>
                    </a:xfrm>
                    <a:prstGeom prst="rect">
                      <a:avLst/>
                    </a:prstGeom>
                    <a:noFill/>
                    <a:ln>
                      <a:noFill/>
                    </a:ln>
                  </pic:spPr>
                </pic:pic>
              </a:graphicData>
            </a:graphic>
          </wp:inline>
        </w:drawing>
      </w:r>
    </w:p>
    <w:p w:rsidR="000B0B27" w:rsidRPr="00D10148" w:rsidRDefault="000B0B27" w:rsidP="000B0B27">
      <w:pPr>
        <w:rPr>
          <w:rFonts w:ascii="Times New Roman" w:hAnsi="Times New Roman"/>
          <w:sz w:val="24"/>
        </w:rPr>
      </w:pPr>
      <w:r w:rsidRPr="00D10148">
        <w:rPr>
          <w:rFonts w:ascii="Times New Roman" w:hAnsi="Times New Roman"/>
          <w:sz w:val="24"/>
        </w:rPr>
        <w:t>Рис. 9.3. Матрица рост / доля рынка БКГ</w:t>
      </w:r>
    </w:p>
    <w:p w:rsidR="000B0B27" w:rsidRPr="00D10148" w:rsidRDefault="000B0B27" w:rsidP="000B0B27">
      <w:pPr>
        <w:rPr>
          <w:rFonts w:ascii="Times New Roman" w:hAnsi="Times New Roman"/>
          <w:sz w:val="24"/>
        </w:rPr>
      </w:pPr>
      <w:r w:rsidRPr="00D10148">
        <w:rPr>
          <w:rFonts w:ascii="Times New Roman" w:hAnsi="Times New Roman"/>
          <w:sz w:val="24"/>
        </w:rPr>
        <w:t>Значение доли рынка, равное 1, отделяет продукты – рыночные лидеры – от последователей. Таким образом, осуществляется деление видов бизнеса (отдельных продуктов) на четыре различные группы (рис. 9.3).</w:t>
      </w:r>
    </w:p>
    <w:p w:rsidR="000B0B27" w:rsidRPr="00D10148" w:rsidRDefault="000B0B27" w:rsidP="000B0B27">
      <w:pPr>
        <w:rPr>
          <w:rFonts w:ascii="Times New Roman" w:hAnsi="Times New Roman"/>
          <w:sz w:val="24"/>
        </w:rPr>
      </w:pPr>
      <w:r w:rsidRPr="00D10148">
        <w:rPr>
          <w:rFonts w:ascii="Times New Roman" w:hAnsi="Times New Roman"/>
          <w:sz w:val="24"/>
        </w:rPr>
        <w:t>Пример</w:t>
      </w:r>
    </w:p>
    <w:p w:rsidR="000B0B27" w:rsidRPr="00D10148" w:rsidRDefault="000B0B27" w:rsidP="000B0B27">
      <w:pPr>
        <w:rPr>
          <w:rFonts w:ascii="Times New Roman" w:hAnsi="Times New Roman"/>
          <w:sz w:val="24"/>
        </w:rPr>
      </w:pPr>
      <w:r w:rsidRPr="00D10148">
        <w:rPr>
          <w:rFonts w:ascii="Times New Roman" w:hAnsi="Times New Roman"/>
          <w:sz w:val="24"/>
        </w:rPr>
        <w:t>Если бизнес-единице принадлежит 10% рынка, на котором самый крупный конкурент владеет долей 20%, то относительная доля данного бизнеса составит 0,5 (10/20).</w:t>
      </w:r>
    </w:p>
    <w:p w:rsidR="000B0B27" w:rsidRPr="00D10148" w:rsidRDefault="000B0B27" w:rsidP="000B0B27">
      <w:pPr>
        <w:rPr>
          <w:rFonts w:ascii="Times New Roman" w:hAnsi="Times New Roman"/>
          <w:sz w:val="24"/>
        </w:rPr>
      </w:pPr>
      <w:r w:rsidRPr="00D10148">
        <w:rPr>
          <w:rFonts w:ascii="Times New Roman" w:hAnsi="Times New Roman"/>
          <w:sz w:val="24"/>
        </w:rPr>
        <w:t>В основе матрицы БКГ лежат два предположения:</w:t>
      </w:r>
    </w:p>
    <w:p w:rsidR="000B0B27" w:rsidRPr="00D10148" w:rsidRDefault="000B0B27" w:rsidP="000B0B27">
      <w:pPr>
        <w:rPr>
          <w:rFonts w:ascii="Times New Roman" w:hAnsi="Times New Roman"/>
          <w:sz w:val="24"/>
        </w:rPr>
      </w:pPr>
      <w:r w:rsidRPr="00D10148">
        <w:rPr>
          <w:rFonts w:ascii="Times New Roman" w:hAnsi="Times New Roman"/>
          <w:sz w:val="24"/>
        </w:rPr>
        <w:t>1. Бизнес, имеющий существенную долю рынка, приобретает в результате действия эффекта опыта конкурентное преимущество в отношении издержек производства. Отсюда следует, что самый крупный конкурент имеет наибольшую рентабельность при продаже по рыночным ценам и для него финансовые потоки максимальны.</w:t>
      </w:r>
    </w:p>
    <w:p w:rsidR="000B0B27" w:rsidRPr="00D10148" w:rsidRDefault="000B0B27" w:rsidP="000B0B27">
      <w:pPr>
        <w:rPr>
          <w:rFonts w:ascii="Times New Roman" w:hAnsi="Times New Roman"/>
          <w:sz w:val="24"/>
        </w:rPr>
      </w:pPr>
      <w:r w:rsidRPr="00D10148">
        <w:rPr>
          <w:rFonts w:ascii="Times New Roman" w:hAnsi="Times New Roman"/>
          <w:sz w:val="24"/>
        </w:rPr>
        <w:t>2. Присутствие на растущем рынке означает повышенную потребность в финансовых средствах для своего развития, т.е. обновления и расширения производства, проведения интенсивной рекламы и т.д. Если темп роста рынка невелик, например зрелый рынок, то товар не нуждается в значительном финансировании.</w:t>
      </w:r>
    </w:p>
    <w:p w:rsidR="000B0B27" w:rsidRPr="00D10148" w:rsidRDefault="000B0B27" w:rsidP="000B0B27">
      <w:pPr>
        <w:rPr>
          <w:rFonts w:ascii="Times New Roman" w:hAnsi="Times New Roman"/>
          <w:sz w:val="24"/>
        </w:rPr>
      </w:pPr>
      <w:r w:rsidRPr="00D10148">
        <w:rPr>
          <w:rFonts w:ascii="Times New Roman" w:hAnsi="Times New Roman"/>
          <w:sz w:val="24"/>
        </w:rPr>
        <w:t>В том случае, когда обе гипотезы выполняются, можно выделить четыре группы рынков товара, соответствующие различным приоритетным стратегическим целям и финансовым потребностям:</w:t>
      </w:r>
    </w:p>
    <w:p w:rsidR="000B0B27" w:rsidRPr="00D10148" w:rsidRDefault="000B0B27" w:rsidP="000B0B27">
      <w:pPr>
        <w:rPr>
          <w:rFonts w:ascii="Times New Roman" w:hAnsi="Times New Roman"/>
          <w:sz w:val="24"/>
        </w:rPr>
      </w:pPr>
      <w:r w:rsidRPr="00D10148">
        <w:rPr>
          <w:rFonts w:ascii="Times New Roman" w:hAnsi="Times New Roman"/>
          <w:sz w:val="24"/>
        </w:rPr>
        <w:t>• «Проблемы» (быстрый рост / малая доля): товары этой группы могут оказаться очень перспективными, поскольку рынок расширяется, но требуют значительных средств для поддержания роста. Применительно к этой группе продуктов необходимо решить: увеличить долю рынка данных товаров или прекратить их финансирование.</w:t>
      </w:r>
    </w:p>
    <w:p w:rsidR="000B0B27" w:rsidRPr="00D10148" w:rsidRDefault="000B0B27" w:rsidP="000B0B27">
      <w:pPr>
        <w:rPr>
          <w:rFonts w:ascii="Times New Roman" w:hAnsi="Times New Roman"/>
          <w:sz w:val="24"/>
        </w:rPr>
      </w:pPr>
      <w:r w:rsidRPr="00D10148">
        <w:rPr>
          <w:rFonts w:ascii="Times New Roman" w:hAnsi="Times New Roman"/>
          <w:sz w:val="24"/>
        </w:rPr>
        <w:lastRenderedPageBreak/>
        <w:t>• «Звезды» (быстрый рост / высокая доля) – это рыночные лидеры. Они приносят значительную прибыль благодаря своей конкурентоспособности, но также нуждаются в финансировании для поддержания высокой доли динамичного рынка.</w:t>
      </w:r>
    </w:p>
    <w:p w:rsidR="000B0B27" w:rsidRPr="00D10148" w:rsidRDefault="000B0B27" w:rsidP="000B0B27">
      <w:pPr>
        <w:rPr>
          <w:rFonts w:ascii="Times New Roman" w:hAnsi="Times New Roman"/>
          <w:sz w:val="24"/>
        </w:rPr>
      </w:pPr>
      <w:r w:rsidRPr="00D10148">
        <w:rPr>
          <w:rFonts w:ascii="Times New Roman" w:hAnsi="Times New Roman"/>
          <w:sz w:val="24"/>
        </w:rPr>
        <w:t>• «Дойные коровы» (медленный рост / высокая доля): товары, способные принести больше прибыли, чем необходимо для поддержания их роста. Они являются основным источником финансовых средств для диверсификации и научных исследований. Приоритетная стратегическая цель – «сбор урожая».</w:t>
      </w:r>
    </w:p>
    <w:p w:rsidR="000B0B27" w:rsidRPr="00D10148" w:rsidRDefault="000B0B27" w:rsidP="000B0B27">
      <w:pPr>
        <w:rPr>
          <w:rFonts w:ascii="Times New Roman" w:hAnsi="Times New Roman"/>
          <w:sz w:val="24"/>
        </w:rPr>
      </w:pPr>
      <w:r w:rsidRPr="00D10148">
        <w:rPr>
          <w:rFonts w:ascii="Times New Roman" w:hAnsi="Times New Roman"/>
          <w:sz w:val="24"/>
        </w:rPr>
        <w:t>• «Собаки» (медленный рост / малая доля) – это продукты, которые находятся в невыгодном положении по издержкам и не имеют возможностей роста. Сохранение таких товаров связано со значительными финансовыми расходами при небольших шансах на улучшение положения. Приоритетная стратегия – деинвестирование и скромное существование.</w:t>
      </w:r>
    </w:p>
    <w:p w:rsidR="000B0B27" w:rsidRPr="00D10148" w:rsidRDefault="000B0B27" w:rsidP="000B0B27">
      <w:pPr>
        <w:rPr>
          <w:rFonts w:ascii="Times New Roman" w:hAnsi="Times New Roman"/>
          <w:sz w:val="24"/>
        </w:rPr>
      </w:pPr>
      <w:r w:rsidRPr="00D10148">
        <w:rPr>
          <w:rFonts w:ascii="Times New Roman" w:hAnsi="Times New Roman"/>
          <w:sz w:val="24"/>
        </w:rPr>
        <w:t>В идеале сбалансированный номенклатурный портфель предприятия должен включать:</w:t>
      </w:r>
    </w:p>
    <w:p w:rsidR="000B0B27" w:rsidRPr="00D10148" w:rsidRDefault="000B0B27" w:rsidP="000B0B27">
      <w:pPr>
        <w:rPr>
          <w:rFonts w:ascii="Times New Roman" w:hAnsi="Times New Roman"/>
          <w:sz w:val="24"/>
        </w:rPr>
      </w:pPr>
      <w:r w:rsidRPr="00D10148">
        <w:rPr>
          <w:rFonts w:ascii="Times New Roman" w:hAnsi="Times New Roman"/>
          <w:sz w:val="24"/>
        </w:rPr>
        <w:t>2–3 товара – «коровы», 1–2 – «звезды», несколько «проблем» в качестве задела на будущее и, возможно, небольшое число товаров – «собак». Избыток стареющих товаров («собак») указывает на опасность спада, даже если текущие результаты деятельности предприятия относительно хорошие. Избыток новых товаров может привести к финансовым затруднениям.</w:t>
      </w:r>
    </w:p>
    <w:p w:rsidR="000B0B27" w:rsidRPr="00D10148" w:rsidRDefault="000B0B27" w:rsidP="000B0B27">
      <w:pPr>
        <w:rPr>
          <w:rFonts w:ascii="Times New Roman" w:hAnsi="Times New Roman"/>
          <w:sz w:val="24"/>
        </w:rPr>
      </w:pPr>
      <w:r w:rsidRPr="00D10148">
        <w:rPr>
          <w:rFonts w:ascii="Times New Roman" w:hAnsi="Times New Roman"/>
          <w:sz w:val="24"/>
        </w:rPr>
        <w:t>В динамичном корпоративном портфеле выделяют следующие траектории (сценарии) развития (рис. 9.4).</w:t>
      </w:r>
    </w:p>
    <w:p w:rsidR="000B0B27" w:rsidRPr="00D10148" w:rsidRDefault="000B0B27" w:rsidP="000B0B27">
      <w:pPr>
        <w:rPr>
          <w:rFonts w:ascii="Times New Roman" w:hAnsi="Times New Roman"/>
          <w:sz w:val="24"/>
        </w:rPr>
      </w:pPr>
      <w:r w:rsidRPr="00D10148">
        <w:rPr>
          <w:rFonts w:ascii="Times New Roman" w:hAnsi="Times New Roman"/>
          <w:noProof/>
          <w:sz w:val="24"/>
        </w:rPr>
        <w:drawing>
          <wp:inline distT="0" distB="0" distL="0" distR="0" wp14:anchorId="7AD70E0A" wp14:editId="2742A007">
            <wp:extent cx="4684395" cy="2030730"/>
            <wp:effectExtent l="0" t="0" r="1905" b="7620"/>
            <wp:docPr id="288" name="Рисунок 288" descr="Основные сценарии развития"/>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descr="Основные сценарии развития"/>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684395" cy="2030730"/>
                    </a:xfrm>
                    <a:prstGeom prst="rect">
                      <a:avLst/>
                    </a:prstGeom>
                    <a:noFill/>
                    <a:ln>
                      <a:noFill/>
                    </a:ln>
                  </pic:spPr>
                </pic:pic>
              </a:graphicData>
            </a:graphic>
          </wp:inline>
        </w:drawing>
      </w:r>
    </w:p>
    <w:p w:rsidR="000B0B27" w:rsidRPr="00D10148" w:rsidRDefault="000B0B27" w:rsidP="000B0B27">
      <w:pPr>
        <w:rPr>
          <w:rFonts w:ascii="Times New Roman" w:hAnsi="Times New Roman"/>
          <w:sz w:val="24"/>
        </w:rPr>
      </w:pPr>
      <w:r w:rsidRPr="00D10148">
        <w:rPr>
          <w:rFonts w:ascii="Times New Roman" w:hAnsi="Times New Roman"/>
          <w:sz w:val="24"/>
        </w:rPr>
        <w:t>Рис. 9.4. Основные сценарии развития</w:t>
      </w:r>
    </w:p>
    <w:p w:rsidR="000B0B27" w:rsidRPr="00D10148" w:rsidRDefault="000B0B27" w:rsidP="000B0B27">
      <w:pPr>
        <w:rPr>
          <w:rFonts w:ascii="Times New Roman" w:hAnsi="Times New Roman"/>
          <w:sz w:val="24"/>
        </w:rPr>
      </w:pPr>
      <w:r w:rsidRPr="00D10148">
        <w:rPr>
          <w:rFonts w:ascii="Times New Roman" w:hAnsi="Times New Roman"/>
          <w:sz w:val="24"/>
        </w:rPr>
        <w:t>«Траектория товара». Инвестируя в НИОКР средства, получаемые от «дойных коров», предприятие выходит на рынок с принципиально новым товаром, который занимает место звезды.</w:t>
      </w:r>
    </w:p>
    <w:p w:rsidR="000B0B27" w:rsidRPr="00D10148" w:rsidRDefault="000B0B27" w:rsidP="000B0B27">
      <w:pPr>
        <w:rPr>
          <w:rFonts w:ascii="Times New Roman" w:hAnsi="Times New Roman"/>
          <w:sz w:val="24"/>
        </w:rPr>
      </w:pPr>
      <w:r w:rsidRPr="00D10148">
        <w:rPr>
          <w:rFonts w:ascii="Times New Roman" w:hAnsi="Times New Roman"/>
          <w:sz w:val="24"/>
        </w:rPr>
        <w:t>• «Траектория последователя». Средства от «дойных коров» инвестируются в товар – «проблему», на рынке которого доминирует лидер. Предприятие придерживается агрессивной стратегии наращивания доли рынка, и товар – «проблема» превращается в «звезду».</w:t>
      </w:r>
    </w:p>
    <w:p w:rsidR="000B0B27" w:rsidRPr="00D10148" w:rsidRDefault="000B0B27" w:rsidP="000B0B27">
      <w:pPr>
        <w:rPr>
          <w:rFonts w:ascii="Times New Roman" w:hAnsi="Times New Roman"/>
          <w:sz w:val="24"/>
        </w:rPr>
      </w:pPr>
      <w:r w:rsidRPr="00D10148">
        <w:rPr>
          <w:rFonts w:ascii="Times New Roman" w:hAnsi="Times New Roman"/>
          <w:sz w:val="24"/>
        </w:rPr>
        <w:t>• «Траектория неудачи». Вследствие недостаточного инвестирования товар-звезда, утрачивает лидирующие позиции на рынке и становится товаром – «проблемой».</w:t>
      </w:r>
    </w:p>
    <w:p w:rsidR="000B0B27" w:rsidRPr="00D10148" w:rsidRDefault="000B0B27" w:rsidP="000B0B27">
      <w:pPr>
        <w:rPr>
          <w:rFonts w:ascii="Times New Roman" w:hAnsi="Times New Roman"/>
          <w:sz w:val="24"/>
        </w:rPr>
      </w:pPr>
      <w:r w:rsidRPr="00D10148">
        <w:rPr>
          <w:rFonts w:ascii="Times New Roman" w:hAnsi="Times New Roman"/>
          <w:sz w:val="24"/>
        </w:rPr>
        <w:t>• «Траектория посредственности». Товару – «проблеме» не удается увеличить свою долю рынка, и он вступает в следующую стадию (товар – «собака»).</w:t>
      </w:r>
    </w:p>
    <w:p w:rsidR="000B0B27" w:rsidRPr="00D10148" w:rsidRDefault="000B0B27" w:rsidP="000B0B27">
      <w:pPr>
        <w:rPr>
          <w:rFonts w:ascii="Times New Roman" w:hAnsi="Times New Roman"/>
          <w:sz w:val="24"/>
        </w:rPr>
      </w:pPr>
      <w:r w:rsidRPr="00D10148">
        <w:rPr>
          <w:rFonts w:ascii="Times New Roman" w:hAnsi="Times New Roman"/>
          <w:sz w:val="24"/>
        </w:rPr>
        <w:t>Основные рекомендации Бостонской консультационной группы по корпоративному портфелю представлены в таблице 9.1.</w:t>
      </w:r>
    </w:p>
    <w:p w:rsidR="000B0B27" w:rsidRPr="00D10148" w:rsidRDefault="000B0B27" w:rsidP="000B0B27">
      <w:pPr>
        <w:rPr>
          <w:rFonts w:ascii="Times New Roman" w:hAnsi="Times New Roman"/>
          <w:sz w:val="24"/>
        </w:rPr>
      </w:pPr>
      <w:r w:rsidRPr="00D10148">
        <w:rPr>
          <w:rFonts w:ascii="Times New Roman" w:hAnsi="Times New Roman"/>
          <w:sz w:val="24"/>
        </w:rPr>
        <w:t>Таблица 9.1. Рекомендации Бостонской матрицы</w:t>
      </w:r>
    </w:p>
    <w:tbl>
      <w:tblPr>
        <w:tblW w:w="4750" w:type="pct"/>
        <w:jc w:val="center"/>
        <w:tblCellMar>
          <w:left w:w="0" w:type="dxa"/>
          <w:right w:w="0" w:type="dxa"/>
        </w:tblCellMar>
        <w:tblLook w:val="04A0" w:firstRow="1" w:lastRow="0" w:firstColumn="1" w:lastColumn="0" w:noHBand="0" w:noVBand="1"/>
      </w:tblPr>
      <w:tblGrid>
        <w:gridCol w:w="2328"/>
        <w:gridCol w:w="3404"/>
        <w:gridCol w:w="3136"/>
      </w:tblGrid>
      <w:tr w:rsidR="000B0B27" w:rsidRPr="00D10148" w:rsidTr="00F150FB">
        <w:trPr>
          <w:trHeight w:val="393"/>
          <w:jc w:val="center"/>
        </w:trPr>
        <w:tc>
          <w:tcPr>
            <w:tcW w:w="1300"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0B0B27" w:rsidRPr="00D10148" w:rsidRDefault="000B0B27" w:rsidP="00F150FB">
            <w:pPr>
              <w:rPr>
                <w:rFonts w:ascii="Times New Roman" w:hAnsi="Times New Roman"/>
                <w:sz w:val="24"/>
              </w:rPr>
            </w:pPr>
            <w:r w:rsidRPr="00D10148">
              <w:rPr>
                <w:rFonts w:ascii="Times New Roman" w:hAnsi="Times New Roman"/>
                <w:sz w:val="24"/>
              </w:rPr>
              <w:t>Доля рынка</w:t>
            </w:r>
          </w:p>
        </w:tc>
        <w:tc>
          <w:tcPr>
            <w:tcW w:w="1900" w:type="pct"/>
            <w:tcBorders>
              <w:top w:val="single" w:sz="8" w:space="0" w:color="000000"/>
              <w:left w:val="nil"/>
              <w:bottom w:val="single" w:sz="8" w:space="0" w:color="000000"/>
              <w:right w:val="single" w:sz="8" w:space="0" w:color="000000"/>
            </w:tcBorders>
            <w:tcMar>
              <w:top w:w="0" w:type="dxa"/>
              <w:left w:w="108" w:type="dxa"/>
              <w:bottom w:w="0" w:type="dxa"/>
              <w:right w:w="108" w:type="dxa"/>
            </w:tcMar>
            <w:hideMark/>
          </w:tcPr>
          <w:p w:rsidR="000B0B27" w:rsidRPr="00D10148" w:rsidRDefault="000B0B27" w:rsidP="00F150FB">
            <w:pPr>
              <w:rPr>
                <w:rFonts w:ascii="Times New Roman" w:hAnsi="Times New Roman"/>
                <w:sz w:val="24"/>
              </w:rPr>
            </w:pPr>
            <w:r w:rsidRPr="00D10148">
              <w:rPr>
                <w:rFonts w:ascii="Times New Roman" w:hAnsi="Times New Roman"/>
                <w:sz w:val="24"/>
              </w:rPr>
              <w:t>Возможные стратегии</w:t>
            </w:r>
          </w:p>
        </w:tc>
        <w:tc>
          <w:tcPr>
            <w:tcW w:w="1750" w:type="pct"/>
            <w:tcBorders>
              <w:top w:val="single" w:sz="8" w:space="0" w:color="000000"/>
              <w:left w:val="nil"/>
              <w:bottom w:val="single" w:sz="8" w:space="0" w:color="000000"/>
              <w:right w:val="single" w:sz="8" w:space="0" w:color="000000"/>
            </w:tcBorders>
            <w:tcMar>
              <w:top w:w="0" w:type="dxa"/>
              <w:left w:w="108" w:type="dxa"/>
              <w:bottom w:w="0" w:type="dxa"/>
              <w:right w:w="108" w:type="dxa"/>
            </w:tcMar>
            <w:hideMark/>
          </w:tcPr>
          <w:p w:rsidR="000B0B27" w:rsidRPr="00D10148" w:rsidRDefault="000B0B27" w:rsidP="00F150FB">
            <w:pPr>
              <w:rPr>
                <w:rFonts w:ascii="Times New Roman" w:hAnsi="Times New Roman"/>
                <w:sz w:val="24"/>
              </w:rPr>
            </w:pPr>
            <w:r w:rsidRPr="00D10148">
              <w:rPr>
                <w:rFonts w:ascii="Times New Roman" w:hAnsi="Times New Roman"/>
                <w:sz w:val="24"/>
              </w:rPr>
              <w:t>Вид стратегии единицы бизнеса</w:t>
            </w:r>
          </w:p>
        </w:tc>
      </w:tr>
      <w:tr w:rsidR="000B0B27" w:rsidRPr="00D10148" w:rsidTr="00F150FB">
        <w:trPr>
          <w:trHeight w:val="347"/>
          <w:jc w:val="center"/>
        </w:trPr>
        <w:tc>
          <w:tcPr>
            <w:tcW w:w="1300" w:type="pct"/>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0B0B27" w:rsidRPr="00D10148" w:rsidRDefault="000B0B27" w:rsidP="00F150FB">
            <w:pPr>
              <w:rPr>
                <w:rFonts w:ascii="Times New Roman" w:hAnsi="Times New Roman"/>
                <w:sz w:val="24"/>
              </w:rPr>
            </w:pPr>
            <w:r w:rsidRPr="00D10148">
              <w:rPr>
                <w:rFonts w:ascii="Times New Roman" w:hAnsi="Times New Roman"/>
                <w:sz w:val="24"/>
              </w:rPr>
              <w:t>Рост</w:t>
            </w:r>
          </w:p>
        </w:tc>
        <w:tc>
          <w:tcPr>
            <w:tcW w:w="1900" w:type="pct"/>
            <w:tcBorders>
              <w:top w:val="nil"/>
              <w:left w:val="nil"/>
              <w:bottom w:val="single" w:sz="8" w:space="0" w:color="000000"/>
              <w:right w:val="single" w:sz="8" w:space="0" w:color="000000"/>
            </w:tcBorders>
            <w:tcMar>
              <w:top w:w="0" w:type="dxa"/>
              <w:left w:w="108" w:type="dxa"/>
              <w:bottom w:w="0" w:type="dxa"/>
              <w:right w:w="108" w:type="dxa"/>
            </w:tcMar>
            <w:hideMark/>
          </w:tcPr>
          <w:p w:rsidR="000B0B27" w:rsidRPr="00D10148" w:rsidRDefault="000B0B27" w:rsidP="00F150FB">
            <w:pPr>
              <w:rPr>
                <w:rFonts w:ascii="Times New Roman" w:hAnsi="Times New Roman"/>
                <w:sz w:val="24"/>
              </w:rPr>
            </w:pPr>
            <w:r w:rsidRPr="00D10148">
              <w:rPr>
                <w:rFonts w:ascii="Times New Roman" w:hAnsi="Times New Roman"/>
                <w:sz w:val="24"/>
              </w:rPr>
              <w:t>Инвестирование</w:t>
            </w:r>
          </w:p>
        </w:tc>
        <w:tc>
          <w:tcPr>
            <w:tcW w:w="1750" w:type="pct"/>
            <w:tcBorders>
              <w:top w:val="nil"/>
              <w:left w:val="nil"/>
              <w:bottom w:val="single" w:sz="8" w:space="0" w:color="000000"/>
              <w:right w:val="single" w:sz="8" w:space="0" w:color="000000"/>
            </w:tcBorders>
            <w:tcMar>
              <w:top w:w="0" w:type="dxa"/>
              <w:left w:w="108" w:type="dxa"/>
              <w:bottom w:w="0" w:type="dxa"/>
              <w:right w:w="108" w:type="dxa"/>
            </w:tcMar>
            <w:hideMark/>
          </w:tcPr>
          <w:p w:rsidR="000B0B27" w:rsidRPr="00D10148" w:rsidRDefault="000B0B27" w:rsidP="00F150FB">
            <w:pPr>
              <w:rPr>
                <w:rFonts w:ascii="Times New Roman" w:hAnsi="Times New Roman"/>
                <w:sz w:val="24"/>
              </w:rPr>
            </w:pPr>
            <w:r w:rsidRPr="00D10148">
              <w:rPr>
                <w:rFonts w:ascii="Times New Roman" w:hAnsi="Times New Roman"/>
                <w:sz w:val="24"/>
              </w:rPr>
              <w:t>«Звезды», «Проблемы»</w:t>
            </w:r>
          </w:p>
        </w:tc>
      </w:tr>
      <w:tr w:rsidR="000B0B27" w:rsidRPr="00D10148" w:rsidTr="00F150FB">
        <w:trPr>
          <w:trHeight w:val="357"/>
          <w:jc w:val="center"/>
        </w:trPr>
        <w:tc>
          <w:tcPr>
            <w:tcW w:w="1300" w:type="pct"/>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0B0B27" w:rsidRPr="00D10148" w:rsidRDefault="000B0B27" w:rsidP="00F150FB">
            <w:pPr>
              <w:rPr>
                <w:rFonts w:ascii="Times New Roman" w:hAnsi="Times New Roman"/>
                <w:sz w:val="24"/>
              </w:rPr>
            </w:pPr>
            <w:r w:rsidRPr="00D10148">
              <w:rPr>
                <w:rFonts w:ascii="Times New Roman" w:hAnsi="Times New Roman"/>
                <w:sz w:val="24"/>
              </w:rPr>
              <w:t>Удерживание</w:t>
            </w:r>
          </w:p>
        </w:tc>
        <w:tc>
          <w:tcPr>
            <w:tcW w:w="1900" w:type="pct"/>
            <w:tcBorders>
              <w:top w:val="nil"/>
              <w:left w:val="nil"/>
              <w:bottom w:val="single" w:sz="8" w:space="0" w:color="000000"/>
              <w:right w:val="single" w:sz="8" w:space="0" w:color="000000"/>
            </w:tcBorders>
            <w:tcMar>
              <w:top w:w="0" w:type="dxa"/>
              <w:left w:w="108" w:type="dxa"/>
              <w:bottom w:w="0" w:type="dxa"/>
              <w:right w:w="108" w:type="dxa"/>
            </w:tcMar>
            <w:hideMark/>
          </w:tcPr>
          <w:p w:rsidR="000B0B27" w:rsidRPr="00D10148" w:rsidRDefault="000B0B27" w:rsidP="00F150FB">
            <w:pPr>
              <w:rPr>
                <w:rFonts w:ascii="Times New Roman" w:hAnsi="Times New Roman"/>
                <w:sz w:val="24"/>
              </w:rPr>
            </w:pPr>
            <w:r w:rsidRPr="00D10148">
              <w:rPr>
                <w:rFonts w:ascii="Times New Roman" w:hAnsi="Times New Roman"/>
                <w:sz w:val="24"/>
              </w:rPr>
              <w:t>«Снятие сливок»</w:t>
            </w:r>
          </w:p>
        </w:tc>
        <w:tc>
          <w:tcPr>
            <w:tcW w:w="1750" w:type="pct"/>
            <w:tcBorders>
              <w:top w:val="nil"/>
              <w:left w:val="nil"/>
              <w:bottom w:val="single" w:sz="8" w:space="0" w:color="000000"/>
              <w:right w:val="single" w:sz="8" w:space="0" w:color="000000"/>
            </w:tcBorders>
            <w:tcMar>
              <w:top w:w="0" w:type="dxa"/>
              <w:left w:w="108" w:type="dxa"/>
              <w:bottom w:w="0" w:type="dxa"/>
              <w:right w:w="108" w:type="dxa"/>
            </w:tcMar>
            <w:hideMark/>
          </w:tcPr>
          <w:p w:rsidR="000B0B27" w:rsidRPr="00D10148" w:rsidRDefault="000B0B27" w:rsidP="00F150FB">
            <w:pPr>
              <w:rPr>
                <w:rFonts w:ascii="Times New Roman" w:hAnsi="Times New Roman"/>
                <w:sz w:val="24"/>
              </w:rPr>
            </w:pPr>
            <w:r w:rsidRPr="00D10148">
              <w:rPr>
                <w:rFonts w:ascii="Times New Roman" w:hAnsi="Times New Roman"/>
                <w:sz w:val="24"/>
              </w:rPr>
              <w:t>«Дойные коровы»</w:t>
            </w:r>
          </w:p>
        </w:tc>
      </w:tr>
      <w:tr w:rsidR="000B0B27" w:rsidRPr="00D10148" w:rsidTr="00F150FB">
        <w:trPr>
          <w:trHeight w:val="338"/>
          <w:jc w:val="center"/>
        </w:trPr>
        <w:tc>
          <w:tcPr>
            <w:tcW w:w="1300" w:type="pct"/>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0B0B27" w:rsidRPr="00D10148" w:rsidRDefault="000B0B27" w:rsidP="00F150FB">
            <w:pPr>
              <w:rPr>
                <w:rFonts w:ascii="Times New Roman" w:hAnsi="Times New Roman"/>
                <w:sz w:val="24"/>
              </w:rPr>
            </w:pPr>
            <w:r w:rsidRPr="00D10148">
              <w:rPr>
                <w:rFonts w:ascii="Times New Roman" w:hAnsi="Times New Roman"/>
                <w:sz w:val="24"/>
              </w:rPr>
              <w:t>Отступление</w:t>
            </w:r>
          </w:p>
        </w:tc>
        <w:tc>
          <w:tcPr>
            <w:tcW w:w="1900" w:type="pct"/>
            <w:tcBorders>
              <w:top w:val="nil"/>
              <w:left w:val="nil"/>
              <w:bottom w:val="single" w:sz="8" w:space="0" w:color="000000"/>
              <w:right w:val="single" w:sz="8" w:space="0" w:color="000000"/>
            </w:tcBorders>
            <w:tcMar>
              <w:top w:w="0" w:type="dxa"/>
              <w:left w:w="108" w:type="dxa"/>
              <w:bottom w:w="0" w:type="dxa"/>
              <w:right w:w="108" w:type="dxa"/>
            </w:tcMar>
            <w:hideMark/>
          </w:tcPr>
          <w:p w:rsidR="000B0B27" w:rsidRPr="00D10148" w:rsidRDefault="000B0B27" w:rsidP="00F150FB">
            <w:pPr>
              <w:rPr>
                <w:rFonts w:ascii="Times New Roman" w:hAnsi="Times New Roman"/>
                <w:sz w:val="24"/>
              </w:rPr>
            </w:pPr>
            <w:r w:rsidRPr="00D10148">
              <w:rPr>
                <w:rFonts w:ascii="Times New Roman" w:hAnsi="Times New Roman"/>
                <w:sz w:val="24"/>
              </w:rPr>
              <w:t>Деинвестирование</w:t>
            </w:r>
          </w:p>
        </w:tc>
        <w:tc>
          <w:tcPr>
            <w:tcW w:w="1750" w:type="pct"/>
            <w:tcBorders>
              <w:top w:val="nil"/>
              <w:left w:val="nil"/>
              <w:bottom w:val="single" w:sz="8" w:space="0" w:color="000000"/>
              <w:right w:val="single" w:sz="8" w:space="0" w:color="000000"/>
            </w:tcBorders>
            <w:tcMar>
              <w:top w:w="0" w:type="dxa"/>
              <w:left w:w="108" w:type="dxa"/>
              <w:bottom w:w="0" w:type="dxa"/>
              <w:right w:w="108" w:type="dxa"/>
            </w:tcMar>
            <w:hideMark/>
          </w:tcPr>
          <w:p w:rsidR="000B0B27" w:rsidRPr="00D10148" w:rsidRDefault="000B0B27" w:rsidP="00F150FB">
            <w:pPr>
              <w:rPr>
                <w:rFonts w:ascii="Times New Roman" w:hAnsi="Times New Roman"/>
                <w:sz w:val="24"/>
              </w:rPr>
            </w:pPr>
            <w:r w:rsidRPr="00D10148">
              <w:rPr>
                <w:rFonts w:ascii="Times New Roman" w:hAnsi="Times New Roman"/>
                <w:sz w:val="24"/>
              </w:rPr>
              <w:t>«Собаки», «Проблемы»</w:t>
            </w:r>
          </w:p>
        </w:tc>
      </w:tr>
    </w:tbl>
    <w:p w:rsidR="000B0B27" w:rsidRPr="00D10148" w:rsidRDefault="000B0B27" w:rsidP="000B0B27">
      <w:pPr>
        <w:rPr>
          <w:rFonts w:ascii="Times New Roman" w:hAnsi="Times New Roman"/>
          <w:sz w:val="24"/>
        </w:rPr>
      </w:pPr>
      <w:r w:rsidRPr="00D10148">
        <w:rPr>
          <w:rFonts w:ascii="Times New Roman" w:hAnsi="Times New Roman"/>
          <w:sz w:val="24"/>
        </w:rPr>
        <w:lastRenderedPageBreak/>
        <w:t>¦ Матрица Мс Кinсеу. Данная матрица разработана консультационной группой Мс Кinсеу совместно с корпорацией Gеnегаl Е1есtriс и получила название «экран бизнеса» (рис. 9.5). Она включает девять квадратов и основана на оценке долгосрочной привлекательности отрасли и конкурентоспособности стратегической единицы бизнеса.</w:t>
      </w:r>
    </w:p>
    <w:p w:rsidR="000B0B27" w:rsidRPr="00D10148" w:rsidRDefault="000B0B27" w:rsidP="000B0B27">
      <w:pPr>
        <w:rPr>
          <w:rFonts w:ascii="Times New Roman" w:hAnsi="Times New Roman"/>
          <w:sz w:val="24"/>
        </w:rPr>
      </w:pPr>
      <w:r w:rsidRPr="00D10148">
        <w:rPr>
          <w:rFonts w:ascii="Times New Roman" w:hAnsi="Times New Roman"/>
          <w:noProof/>
          <w:sz w:val="24"/>
        </w:rPr>
        <w:drawing>
          <wp:inline distT="0" distB="0" distL="0" distR="0" wp14:anchorId="4201F2E7" wp14:editId="5FD050E6">
            <wp:extent cx="4807585" cy="1649095"/>
            <wp:effectExtent l="0" t="0" r="0" b="8255"/>
            <wp:docPr id="287" name="Рисунок 287" descr="Матрица Мс Кinсеу"/>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descr="Матрица Мс Кinсеу"/>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807585" cy="1649095"/>
                    </a:xfrm>
                    <a:prstGeom prst="rect">
                      <a:avLst/>
                    </a:prstGeom>
                    <a:noFill/>
                    <a:ln>
                      <a:noFill/>
                    </a:ln>
                  </pic:spPr>
                </pic:pic>
              </a:graphicData>
            </a:graphic>
          </wp:inline>
        </w:drawing>
      </w:r>
    </w:p>
    <w:p w:rsidR="000B0B27" w:rsidRPr="00D10148" w:rsidRDefault="000B0B27" w:rsidP="000B0B27">
      <w:pPr>
        <w:rPr>
          <w:rFonts w:ascii="Times New Roman" w:hAnsi="Times New Roman"/>
          <w:sz w:val="24"/>
        </w:rPr>
      </w:pPr>
      <w:r w:rsidRPr="00D10148">
        <w:rPr>
          <w:rFonts w:ascii="Times New Roman" w:hAnsi="Times New Roman"/>
          <w:sz w:val="24"/>
        </w:rPr>
        <w:t>Рис. 9.5. Матрица Мс Кinсеу</w:t>
      </w:r>
    </w:p>
    <w:p w:rsidR="000B0B27" w:rsidRPr="00D10148" w:rsidRDefault="000B0B27" w:rsidP="000B0B27">
      <w:pPr>
        <w:rPr>
          <w:rFonts w:ascii="Times New Roman" w:hAnsi="Times New Roman"/>
          <w:sz w:val="24"/>
        </w:rPr>
      </w:pPr>
      <w:r w:rsidRPr="00D10148">
        <w:rPr>
          <w:rFonts w:ascii="Times New Roman" w:hAnsi="Times New Roman"/>
          <w:sz w:val="24"/>
        </w:rPr>
        <w:t>Факторы, определяющие привлекательность отрасли и позиции бизнеса на отдельных рынках, различны. Так, основными критериями привлекательности могут быть размер рынка, темпы роста, уровень конкуренции, чувствительность рынка к цене.</w:t>
      </w:r>
    </w:p>
    <w:p w:rsidR="000B0B27" w:rsidRPr="00D10148" w:rsidRDefault="000B0B27" w:rsidP="000B0B27">
      <w:pPr>
        <w:rPr>
          <w:rFonts w:ascii="Times New Roman" w:hAnsi="Times New Roman"/>
          <w:sz w:val="24"/>
        </w:rPr>
      </w:pPr>
      <w:r w:rsidRPr="00D10148">
        <w:rPr>
          <w:rFonts w:ascii="Times New Roman" w:hAnsi="Times New Roman"/>
          <w:sz w:val="24"/>
        </w:rPr>
        <w:t>Конкурентоспособность бизнеса можно оценить, используя такие критерии, как доля рынка, контролируемая фирмой; эффективность системы маркетинга, уровень издержек, потенциал и др. Поэтому при анализе каждого рынка следует выделить характеризующие его факторы и оценить их уровень (низкий, средний или высокий).</w:t>
      </w:r>
    </w:p>
    <w:p w:rsidR="000B0B27" w:rsidRPr="00D10148" w:rsidRDefault="000B0B27" w:rsidP="000B0B27">
      <w:pPr>
        <w:rPr>
          <w:rFonts w:ascii="Times New Roman" w:hAnsi="Times New Roman"/>
          <w:sz w:val="24"/>
        </w:rPr>
      </w:pPr>
      <w:r w:rsidRPr="00D10148">
        <w:rPr>
          <w:rFonts w:ascii="Times New Roman" w:hAnsi="Times New Roman"/>
          <w:sz w:val="24"/>
        </w:rPr>
        <w:t>Рекомендации матрицы Мс Кinсеу:</w:t>
      </w:r>
    </w:p>
    <w:p w:rsidR="000B0B27" w:rsidRPr="00D10148" w:rsidRDefault="000B0B27" w:rsidP="000B0B27">
      <w:pPr>
        <w:rPr>
          <w:rFonts w:ascii="Times New Roman" w:hAnsi="Times New Roman"/>
          <w:sz w:val="24"/>
        </w:rPr>
      </w:pPr>
      <w:r w:rsidRPr="00D10148">
        <w:rPr>
          <w:rFonts w:ascii="Times New Roman" w:hAnsi="Times New Roman"/>
          <w:sz w:val="24"/>
        </w:rPr>
        <w:t>• инвестировать, чтобы удерживать занятую позицию и следовать за развитием рынка;</w:t>
      </w:r>
    </w:p>
    <w:p w:rsidR="000B0B27" w:rsidRPr="00D10148" w:rsidRDefault="000B0B27" w:rsidP="000B0B27">
      <w:pPr>
        <w:rPr>
          <w:rFonts w:ascii="Times New Roman" w:hAnsi="Times New Roman"/>
          <w:sz w:val="24"/>
        </w:rPr>
      </w:pPr>
      <w:r w:rsidRPr="00D10148">
        <w:rPr>
          <w:rFonts w:ascii="Times New Roman" w:hAnsi="Times New Roman"/>
          <w:sz w:val="24"/>
        </w:rPr>
        <w:t>• инвестировать в целях улучшения занимаемой позиции, смещаясь по матрице вправо, в сторону повышения конкурентоспособности;</w:t>
      </w:r>
    </w:p>
    <w:p w:rsidR="000B0B27" w:rsidRPr="00D10148" w:rsidRDefault="000B0B27" w:rsidP="000B0B27">
      <w:pPr>
        <w:rPr>
          <w:rFonts w:ascii="Times New Roman" w:hAnsi="Times New Roman"/>
          <w:sz w:val="24"/>
        </w:rPr>
      </w:pPr>
      <w:r w:rsidRPr="00D10148">
        <w:rPr>
          <w:rFonts w:ascii="Times New Roman" w:hAnsi="Times New Roman"/>
          <w:sz w:val="24"/>
        </w:rPr>
        <w:t>• инвестировать, чтобы восстановить утерянную позицию. Такая стратегия трудно реализуема, если привлекательность рынка слабая или средняя;</w:t>
      </w:r>
    </w:p>
    <w:p w:rsidR="000B0B27" w:rsidRPr="00D10148" w:rsidRDefault="000B0B27" w:rsidP="000B0B27">
      <w:pPr>
        <w:rPr>
          <w:rFonts w:ascii="Times New Roman" w:hAnsi="Times New Roman"/>
          <w:sz w:val="24"/>
        </w:rPr>
      </w:pPr>
      <w:r w:rsidRPr="00D10148">
        <w:rPr>
          <w:rFonts w:ascii="Times New Roman" w:hAnsi="Times New Roman"/>
          <w:sz w:val="24"/>
        </w:rPr>
        <w:t>• снизить уровень инвестиций с намерением «собрать урожай», например путем продажи бизнеса;</w:t>
      </w:r>
    </w:p>
    <w:p w:rsidR="000B0B27" w:rsidRPr="00D10148" w:rsidRDefault="000B0B27" w:rsidP="000B0B27">
      <w:pPr>
        <w:rPr>
          <w:rFonts w:ascii="Times New Roman" w:hAnsi="Times New Roman"/>
          <w:sz w:val="24"/>
        </w:rPr>
      </w:pPr>
      <w:r w:rsidRPr="00D10148">
        <w:rPr>
          <w:rFonts w:ascii="Times New Roman" w:hAnsi="Times New Roman"/>
          <w:sz w:val="24"/>
        </w:rPr>
        <w:t>• деинвестировать и уйти с рынка (или рыночного сегмента) с низкой привлекательностью, где предприятие не может добиться существенного конкурентного преимущества.</w:t>
      </w:r>
    </w:p>
    <w:p w:rsidR="000B0B27" w:rsidRPr="00D10148" w:rsidRDefault="000B0B27" w:rsidP="000B0B27">
      <w:pPr>
        <w:rPr>
          <w:rFonts w:ascii="Times New Roman" w:hAnsi="Times New Roman"/>
          <w:sz w:val="24"/>
        </w:rPr>
      </w:pPr>
      <w:r w:rsidRPr="00D10148">
        <w:rPr>
          <w:rFonts w:ascii="Times New Roman" w:hAnsi="Times New Roman"/>
          <w:sz w:val="24"/>
        </w:rPr>
        <w:t>Матрице Мс Кinсеу присущи общие недостатки методов портфельного анализа. В их числе:</w:t>
      </w:r>
    </w:p>
    <w:p w:rsidR="000B0B27" w:rsidRPr="00D10148" w:rsidRDefault="000B0B27" w:rsidP="000B0B27">
      <w:pPr>
        <w:rPr>
          <w:rFonts w:ascii="Times New Roman" w:hAnsi="Times New Roman"/>
          <w:sz w:val="24"/>
        </w:rPr>
      </w:pPr>
      <w:r w:rsidRPr="00D10148">
        <w:rPr>
          <w:rFonts w:ascii="Times New Roman" w:hAnsi="Times New Roman"/>
          <w:sz w:val="24"/>
        </w:rPr>
        <w:t>• трудности учета границ и масштаба рынка, большое количество критериев;</w:t>
      </w:r>
    </w:p>
    <w:p w:rsidR="000B0B27" w:rsidRPr="00D10148" w:rsidRDefault="000B0B27" w:rsidP="000B0B27">
      <w:pPr>
        <w:rPr>
          <w:rFonts w:ascii="Times New Roman" w:hAnsi="Times New Roman"/>
          <w:sz w:val="24"/>
        </w:rPr>
      </w:pPr>
      <w:r w:rsidRPr="00D10148">
        <w:rPr>
          <w:rFonts w:ascii="Times New Roman" w:hAnsi="Times New Roman"/>
          <w:sz w:val="24"/>
        </w:rPr>
        <w:t>• субъективность оценок;</w:t>
      </w:r>
    </w:p>
    <w:p w:rsidR="000B0B27" w:rsidRPr="00D10148" w:rsidRDefault="000B0B27" w:rsidP="000B0B27">
      <w:pPr>
        <w:rPr>
          <w:rFonts w:ascii="Times New Roman" w:hAnsi="Times New Roman"/>
          <w:sz w:val="24"/>
        </w:rPr>
      </w:pPr>
      <w:r w:rsidRPr="00D10148">
        <w:rPr>
          <w:rFonts w:ascii="Times New Roman" w:hAnsi="Times New Roman"/>
          <w:sz w:val="24"/>
        </w:rPr>
        <w:t>• статичный характер модели;</w:t>
      </w:r>
    </w:p>
    <w:p w:rsidR="000B0B27" w:rsidRPr="00D10148" w:rsidRDefault="000B0B27" w:rsidP="000B0B27">
      <w:pPr>
        <w:rPr>
          <w:rFonts w:ascii="Times New Roman" w:hAnsi="Times New Roman"/>
          <w:sz w:val="24"/>
        </w:rPr>
      </w:pPr>
      <w:r w:rsidRPr="00D10148">
        <w:rPr>
          <w:rFonts w:ascii="Times New Roman" w:hAnsi="Times New Roman"/>
          <w:sz w:val="24"/>
        </w:rPr>
        <w:t>• слишком общий характер рекомендаций.</w:t>
      </w:r>
    </w:p>
    <w:p w:rsidR="000B0B27" w:rsidRPr="00D10148" w:rsidRDefault="000B0B27" w:rsidP="000B0B27">
      <w:pPr>
        <w:rPr>
          <w:rFonts w:ascii="Times New Roman" w:hAnsi="Times New Roman"/>
          <w:sz w:val="24"/>
        </w:rPr>
      </w:pPr>
      <w:r w:rsidRPr="00D10148">
        <w:rPr>
          <w:rFonts w:ascii="Times New Roman" w:hAnsi="Times New Roman"/>
          <w:sz w:val="24"/>
        </w:rPr>
        <w:t>Вместе с тем данная матрица является более совершенной, так как в ней рассматривается существенно большое число факторов. Поэтому она не приводит к столь упрощенным выводам, как Бостонская матрица.</w:t>
      </w:r>
    </w:p>
    <w:p w:rsidR="000B0B27" w:rsidRPr="00D10148" w:rsidRDefault="000B0B27" w:rsidP="000B0B27">
      <w:pPr>
        <w:rPr>
          <w:rFonts w:ascii="Times New Roman" w:hAnsi="Times New Roman"/>
          <w:sz w:val="24"/>
        </w:rPr>
      </w:pPr>
      <w:r w:rsidRPr="00D10148">
        <w:rPr>
          <w:rFonts w:ascii="Times New Roman" w:hAnsi="Times New Roman"/>
          <w:sz w:val="24"/>
        </w:rPr>
        <w:t> </w:t>
      </w:r>
    </w:p>
    <w:p w:rsidR="000B0B27" w:rsidRPr="00D10148" w:rsidRDefault="000B0B27" w:rsidP="000B0B27">
      <w:pPr>
        <w:shd w:val="clear" w:color="auto" w:fill="FFFFFF"/>
        <w:jc w:val="both"/>
        <w:rPr>
          <w:rFonts w:ascii="Times New Roman" w:hAnsi="Times New Roman"/>
          <w:b/>
          <w:spacing w:val="-3"/>
          <w:sz w:val="24"/>
        </w:rPr>
      </w:pPr>
      <w:r w:rsidRPr="00D10148">
        <w:rPr>
          <w:rFonts w:ascii="Times New Roman" w:hAnsi="Times New Roman"/>
          <w:b/>
          <w:spacing w:val="-3"/>
          <w:sz w:val="24"/>
        </w:rPr>
        <w:t xml:space="preserve">2.Оценка диверсифицированного портфеля с использованием матричного анализа. Матрица «рост/доля» </w:t>
      </w:r>
      <w:r w:rsidRPr="00D10148">
        <w:rPr>
          <w:rFonts w:ascii="Times New Roman" w:hAnsi="Times New Roman"/>
          <w:b/>
          <w:spacing w:val="-3"/>
          <w:sz w:val="24"/>
          <w:lang w:val="en-US"/>
        </w:rPr>
        <w:t>Boston</w:t>
      </w:r>
      <w:r w:rsidRPr="00D10148">
        <w:rPr>
          <w:rFonts w:ascii="Times New Roman" w:hAnsi="Times New Roman"/>
          <w:b/>
          <w:spacing w:val="-3"/>
          <w:sz w:val="24"/>
        </w:rPr>
        <w:t xml:space="preserve"> </w:t>
      </w:r>
      <w:r w:rsidRPr="00D10148">
        <w:rPr>
          <w:rFonts w:ascii="Times New Roman" w:hAnsi="Times New Roman"/>
          <w:b/>
          <w:spacing w:val="-3"/>
          <w:sz w:val="24"/>
          <w:lang w:val="en-US"/>
        </w:rPr>
        <w:t>Consulting</w:t>
      </w:r>
      <w:r w:rsidRPr="00D10148">
        <w:rPr>
          <w:rFonts w:ascii="Times New Roman" w:hAnsi="Times New Roman"/>
          <w:b/>
          <w:spacing w:val="-3"/>
          <w:sz w:val="24"/>
        </w:rPr>
        <w:t xml:space="preserve"> </w:t>
      </w:r>
      <w:r w:rsidRPr="00D10148">
        <w:rPr>
          <w:rFonts w:ascii="Times New Roman" w:hAnsi="Times New Roman"/>
          <w:b/>
          <w:spacing w:val="-3"/>
          <w:sz w:val="24"/>
          <w:lang w:val="en-US"/>
        </w:rPr>
        <w:t>Group</w:t>
      </w:r>
      <w:r w:rsidRPr="00D10148">
        <w:rPr>
          <w:rFonts w:ascii="Times New Roman" w:hAnsi="Times New Roman"/>
          <w:b/>
          <w:spacing w:val="-3"/>
          <w:sz w:val="24"/>
        </w:rPr>
        <w:t xml:space="preserve">. Матрица «привлекательность отрасли/положение в конкуренции» </w:t>
      </w:r>
      <w:r w:rsidRPr="00D10148">
        <w:rPr>
          <w:rFonts w:ascii="Times New Roman" w:hAnsi="Times New Roman"/>
          <w:b/>
          <w:spacing w:val="-3"/>
          <w:sz w:val="24"/>
          <w:lang w:val="en-US"/>
        </w:rPr>
        <w:t>McKincey</w:t>
      </w:r>
      <w:r w:rsidRPr="00D10148">
        <w:rPr>
          <w:rFonts w:ascii="Times New Roman" w:hAnsi="Times New Roman"/>
          <w:b/>
          <w:spacing w:val="-3"/>
          <w:sz w:val="24"/>
        </w:rPr>
        <w:t>-</w:t>
      </w:r>
      <w:r w:rsidRPr="00D10148">
        <w:rPr>
          <w:rFonts w:ascii="Times New Roman" w:hAnsi="Times New Roman"/>
          <w:b/>
          <w:spacing w:val="-3"/>
          <w:sz w:val="24"/>
          <w:lang w:val="en-US"/>
        </w:rPr>
        <w:t>GeneralElectric</w:t>
      </w:r>
      <w:r w:rsidRPr="00D10148">
        <w:rPr>
          <w:rFonts w:ascii="Times New Roman" w:hAnsi="Times New Roman"/>
          <w:b/>
          <w:spacing w:val="-3"/>
          <w:sz w:val="24"/>
        </w:rPr>
        <w:t xml:space="preserve">. Матрица жизненного цикла отрасли </w:t>
      </w:r>
      <w:r w:rsidRPr="00D10148">
        <w:rPr>
          <w:rFonts w:ascii="Times New Roman" w:hAnsi="Times New Roman"/>
          <w:b/>
          <w:spacing w:val="-3"/>
          <w:sz w:val="24"/>
          <w:lang w:val="en-US"/>
        </w:rPr>
        <w:t>Hofer</w:t>
      </w:r>
      <w:r w:rsidRPr="00D10148">
        <w:rPr>
          <w:rFonts w:ascii="Times New Roman" w:hAnsi="Times New Roman"/>
          <w:b/>
          <w:spacing w:val="-3"/>
          <w:sz w:val="24"/>
        </w:rPr>
        <w:t>/</w:t>
      </w:r>
      <w:r w:rsidRPr="00D10148">
        <w:rPr>
          <w:rFonts w:ascii="Times New Roman" w:hAnsi="Times New Roman"/>
          <w:b/>
          <w:spacing w:val="-3"/>
          <w:sz w:val="24"/>
          <w:lang w:val="en-US"/>
        </w:rPr>
        <w:t>A</w:t>
      </w:r>
      <w:r w:rsidRPr="00D10148">
        <w:rPr>
          <w:rFonts w:ascii="Times New Roman" w:hAnsi="Times New Roman"/>
          <w:b/>
          <w:spacing w:val="-3"/>
          <w:sz w:val="24"/>
        </w:rPr>
        <w:t>.</w:t>
      </w:r>
      <w:r w:rsidRPr="00D10148">
        <w:rPr>
          <w:rFonts w:ascii="Times New Roman" w:hAnsi="Times New Roman"/>
          <w:b/>
          <w:spacing w:val="-3"/>
          <w:sz w:val="24"/>
          <w:lang w:val="en-US"/>
        </w:rPr>
        <w:t>D</w:t>
      </w:r>
      <w:r w:rsidRPr="00D10148">
        <w:rPr>
          <w:rFonts w:ascii="Times New Roman" w:hAnsi="Times New Roman"/>
          <w:b/>
          <w:spacing w:val="-3"/>
          <w:sz w:val="24"/>
        </w:rPr>
        <w:t>.</w:t>
      </w:r>
      <w:r w:rsidRPr="00D10148">
        <w:rPr>
          <w:rFonts w:ascii="Times New Roman" w:hAnsi="Times New Roman"/>
          <w:b/>
          <w:spacing w:val="-3"/>
          <w:sz w:val="24"/>
          <w:lang w:val="en-US"/>
        </w:rPr>
        <w:t>Little</w:t>
      </w:r>
      <w:r w:rsidRPr="00D10148">
        <w:rPr>
          <w:rFonts w:ascii="Times New Roman" w:hAnsi="Times New Roman"/>
          <w:b/>
          <w:spacing w:val="-3"/>
          <w:sz w:val="24"/>
        </w:rPr>
        <w:t>.</w:t>
      </w:r>
    </w:p>
    <w:p w:rsidR="000B0B27" w:rsidRPr="00D10148" w:rsidRDefault="000B0B27" w:rsidP="000B0B27">
      <w:pPr>
        <w:shd w:val="clear" w:color="auto" w:fill="FFFFFF"/>
        <w:jc w:val="both"/>
        <w:rPr>
          <w:rFonts w:ascii="Times New Roman" w:hAnsi="Times New Roman"/>
          <w:spacing w:val="-3"/>
          <w:sz w:val="24"/>
        </w:rPr>
      </w:pPr>
    </w:p>
    <w:p w:rsidR="000B0B27" w:rsidRPr="00D10148" w:rsidRDefault="000B0B27" w:rsidP="000B0B27">
      <w:pPr>
        <w:pStyle w:val="a3"/>
        <w:shd w:val="clear" w:color="auto" w:fill="FFFFFF"/>
        <w:spacing w:before="0" w:beforeAutospacing="0" w:after="0" w:afterAutospacing="0"/>
        <w:jc w:val="both"/>
        <w:rPr>
          <w:lang w:val="kk-KZ"/>
        </w:rPr>
      </w:pPr>
      <w:r w:rsidRPr="00D10148">
        <w:t xml:space="preserve">Одним из наиболее распространенных методов оценки качества видов деятельности диверсифицированной компании является матричный анализ ее хозяйственного портфеля. Матрица хозяйственного портфеля представляет собой таблицу, в которой сопоставляются стратегические позиции каждого структурного подразделения диверсифицированной компании. Матрица может, быть построена на основе любой пары показателей, </w:t>
      </w:r>
      <w:r w:rsidRPr="00D10148">
        <w:lastRenderedPageBreak/>
        <w:t>характеризующих стратегические позиции. Наиболее существенными являются темпы роста отрасли, доля рынка, долгосрочная привлекательность отрасли, конкурентоспособность и стадия развития данного продукта или рынка. Обычно одна ось матрицы отражает привлекательность отрасли, а другая - положение конкретных видов деятельности в ней. Три типа матриц хозяйственного портфеля применяются наиболее часто - матрица "рост/доля", разработанная компанией Boston Consulting Group, матрица "привлекательность отрасли/положение в конкуренции", созданная /компанией General Electric, и матрица жизненного цикла отрасли Hofer/A.D. Little. Матрица БКГ сравнивает позиции хозяйственных подразделений диверсифицированной компании на основе темпов роста отрасли и относительной доли рынка.</w:t>
      </w:r>
    </w:p>
    <w:p w:rsidR="000B0B27" w:rsidRPr="00D10148" w:rsidRDefault="000B0B27" w:rsidP="000B0B27">
      <w:pPr>
        <w:pStyle w:val="a3"/>
        <w:shd w:val="clear" w:color="auto" w:fill="FFFFFF"/>
        <w:spacing w:before="0" w:beforeAutospacing="0" w:after="0" w:afterAutospacing="0"/>
        <w:jc w:val="both"/>
      </w:pPr>
      <w:r w:rsidRPr="00D10148">
        <w:rPr>
          <w:lang w:val="kk-KZ"/>
        </w:rPr>
        <w:t>П</w:t>
      </w:r>
      <w:r w:rsidRPr="00D10148">
        <w:t>ервая наиболее широко используемая матрица портфеля деловой активности, состоящая из четырех квадрантов, разработана ведущей консалтинговой компаний Boston Consulting Group (БКГ). Рис. 1 иллюстрирует эту матрицу. По осям фиксируются темпы роста отрасли и относительная доля рынка. Каждое хозяйственное подразделение представлено в виде кружка (пузырька), размер которого определяется долей прибыли данного подразделения в общей прибыли корпорации от всех видов деятельности.</w:t>
      </w:r>
    </w:p>
    <w:p w:rsidR="000B0B27" w:rsidRPr="00D10148" w:rsidRDefault="000B0B27" w:rsidP="000B0B27">
      <w:pPr>
        <w:pStyle w:val="a3"/>
        <w:spacing w:before="0" w:beforeAutospacing="0" w:after="0" w:afterAutospacing="0"/>
        <w:jc w:val="both"/>
      </w:pPr>
      <w:r w:rsidRPr="00D10148">
        <w:t>Впервые модель «привлекательность рынка — конкурентоспособность» появилась в 1970-х годах и была предложена корпорацией General Electric и консалтинговой компанией McKinsey &amp; Со, в связи с чем получила название «модель GE/McKinsey». К 1980 году модель «привлекательность-конкурентоспособность» стала наиболее популярной многофакторной моделью анализа стратегических позиций бизнеса.</w:t>
      </w:r>
    </w:p>
    <w:p w:rsidR="000B0B27" w:rsidRPr="00D10148" w:rsidRDefault="000B0B27" w:rsidP="000B0B27">
      <w:pPr>
        <w:pStyle w:val="a3"/>
        <w:spacing w:before="0" w:beforeAutospacing="0" w:after="0" w:afterAutospacing="0"/>
        <w:jc w:val="both"/>
      </w:pPr>
      <w:r w:rsidRPr="00D10148">
        <w:t>Главной особенностью модели Маккинси является: использование весовых коэффициентов при построении модели и учет трендов развития отрасли. На практике матрица General Electric (GE) / McKinsey позволяет ответить на следующие вопросы:</w:t>
      </w:r>
    </w:p>
    <w:p w:rsidR="000B0B27" w:rsidRPr="00D10148" w:rsidRDefault="000B0B27" w:rsidP="000B0B27">
      <w:pPr>
        <w:numPr>
          <w:ilvl w:val="0"/>
          <w:numId w:val="1"/>
        </w:numPr>
        <w:tabs>
          <w:tab w:val="clear" w:pos="720"/>
          <w:tab w:val="num" w:pos="0"/>
        </w:tabs>
        <w:ind w:left="0" w:firstLine="0"/>
        <w:jc w:val="both"/>
        <w:rPr>
          <w:rFonts w:ascii="Times New Roman" w:hAnsi="Times New Roman"/>
          <w:sz w:val="24"/>
        </w:rPr>
      </w:pPr>
      <w:r w:rsidRPr="00D10148">
        <w:rPr>
          <w:rFonts w:ascii="Times New Roman" w:hAnsi="Times New Roman"/>
          <w:sz w:val="24"/>
        </w:rPr>
        <w:t>какое из направлений бизнеса следует развивать компании</w:t>
      </w:r>
    </w:p>
    <w:p w:rsidR="000B0B27" w:rsidRPr="00D10148" w:rsidRDefault="000B0B27" w:rsidP="000B0B27">
      <w:pPr>
        <w:numPr>
          <w:ilvl w:val="0"/>
          <w:numId w:val="1"/>
        </w:numPr>
        <w:tabs>
          <w:tab w:val="clear" w:pos="720"/>
          <w:tab w:val="num" w:pos="0"/>
        </w:tabs>
        <w:ind w:left="0" w:firstLine="0"/>
        <w:jc w:val="both"/>
        <w:rPr>
          <w:rFonts w:ascii="Times New Roman" w:hAnsi="Times New Roman"/>
          <w:sz w:val="24"/>
        </w:rPr>
      </w:pPr>
      <w:r w:rsidRPr="00D10148">
        <w:rPr>
          <w:rFonts w:ascii="Times New Roman" w:hAnsi="Times New Roman"/>
          <w:sz w:val="24"/>
        </w:rPr>
        <w:t>в каком из направлений компания будет нести убытки в долгосрочной перспективе</w:t>
      </w:r>
    </w:p>
    <w:p w:rsidR="000B0B27" w:rsidRPr="00D10148" w:rsidRDefault="000B0B27" w:rsidP="000B0B27">
      <w:pPr>
        <w:numPr>
          <w:ilvl w:val="0"/>
          <w:numId w:val="1"/>
        </w:numPr>
        <w:tabs>
          <w:tab w:val="clear" w:pos="720"/>
          <w:tab w:val="num" w:pos="0"/>
        </w:tabs>
        <w:ind w:left="0" w:firstLine="0"/>
        <w:jc w:val="both"/>
        <w:rPr>
          <w:rFonts w:ascii="Times New Roman" w:hAnsi="Times New Roman"/>
          <w:sz w:val="24"/>
        </w:rPr>
      </w:pPr>
      <w:r w:rsidRPr="00D10148">
        <w:rPr>
          <w:rFonts w:ascii="Times New Roman" w:hAnsi="Times New Roman"/>
          <w:sz w:val="24"/>
        </w:rPr>
        <w:t>какие товары нуждаются в повышении конкурентоспособности</w:t>
      </w:r>
    </w:p>
    <w:p w:rsidR="000B0B27" w:rsidRPr="00D10148" w:rsidRDefault="000B0B27" w:rsidP="000B0B27">
      <w:pPr>
        <w:numPr>
          <w:ilvl w:val="0"/>
          <w:numId w:val="1"/>
        </w:numPr>
        <w:tabs>
          <w:tab w:val="clear" w:pos="720"/>
          <w:tab w:val="num" w:pos="0"/>
        </w:tabs>
        <w:ind w:left="0" w:firstLine="0"/>
        <w:jc w:val="both"/>
        <w:rPr>
          <w:rFonts w:ascii="Times New Roman" w:hAnsi="Times New Roman"/>
          <w:sz w:val="24"/>
        </w:rPr>
      </w:pPr>
      <w:r w:rsidRPr="00D10148">
        <w:rPr>
          <w:rFonts w:ascii="Times New Roman" w:hAnsi="Times New Roman"/>
          <w:sz w:val="24"/>
        </w:rPr>
        <w:t>какие товары являются приоритетными в продвижении и развитии</w:t>
      </w:r>
    </w:p>
    <w:p w:rsidR="000B0B27" w:rsidRPr="00D10148" w:rsidRDefault="000B0B27" w:rsidP="000B0B27">
      <w:pPr>
        <w:numPr>
          <w:ilvl w:val="0"/>
          <w:numId w:val="1"/>
        </w:numPr>
        <w:tabs>
          <w:tab w:val="clear" w:pos="720"/>
          <w:tab w:val="num" w:pos="0"/>
        </w:tabs>
        <w:ind w:left="0" w:firstLine="0"/>
        <w:jc w:val="both"/>
        <w:rPr>
          <w:rFonts w:ascii="Times New Roman" w:hAnsi="Times New Roman"/>
          <w:sz w:val="24"/>
        </w:rPr>
      </w:pPr>
      <w:r w:rsidRPr="00D10148">
        <w:rPr>
          <w:rFonts w:ascii="Times New Roman" w:hAnsi="Times New Roman"/>
          <w:sz w:val="24"/>
        </w:rPr>
        <w:t>как наиболее эффективно распределить ресурсы внутри компании между отделами</w:t>
      </w:r>
    </w:p>
    <w:p w:rsidR="000B0B27" w:rsidRPr="00D10148" w:rsidRDefault="000B0B27" w:rsidP="000B0B27">
      <w:pPr>
        <w:numPr>
          <w:ilvl w:val="0"/>
          <w:numId w:val="1"/>
        </w:numPr>
        <w:tabs>
          <w:tab w:val="clear" w:pos="720"/>
          <w:tab w:val="num" w:pos="0"/>
        </w:tabs>
        <w:ind w:left="0" w:firstLine="0"/>
        <w:jc w:val="both"/>
        <w:rPr>
          <w:rFonts w:ascii="Times New Roman" w:hAnsi="Times New Roman"/>
          <w:sz w:val="24"/>
        </w:rPr>
      </w:pPr>
      <w:r w:rsidRPr="00D10148">
        <w:rPr>
          <w:rFonts w:ascii="Times New Roman" w:hAnsi="Times New Roman"/>
          <w:sz w:val="24"/>
        </w:rPr>
        <w:t>в каких направлениях следует сократить использование ресурсов компании в связи с их непривлекательностью</w:t>
      </w:r>
    </w:p>
    <w:p w:rsidR="000B0B27" w:rsidRPr="00D10148" w:rsidRDefault="000B0B27" w:rsidP="000B0B27">
      <w:pPr>
        <w:pStyle w:val="4"/>
        <w:jc w:val="both"/>
        <w:rPr>
          <w:sz w:val="24"/>
          <w:szCs w:val="24"/>
        </w:rPr>
      </w:pPr>
      <w:r w:rsidRPr="00D10148">
        <w:rPr>
          <w:sz w:val="24"/>
          <w:szCs w:val="24"/>
        </w:rPr>
        <w:t>Знакомы с теорией и ищите практическое применение модели?</w:t>
      </w:r>
    </w:p>
    <w:p w:rsidR="000B0B27" w:rsidRPr="00D10148" w:rsidRDefault="000B0B27" w:rsidP="000B0B27">
      <w:pPr>
        <w:pStyle w:val="a3"/>
        <w:spacing w:before="0" w:beforeAutospacing="0" w:after="0" w:afterAutospacing="0"/>
        <w:jc w:val="both"/>
      </w:pPr>
      <w:r w:rsidRPr="00D10148">
        <w:t>Предлагаем подробную пошаговую инструкцию — пример использования метода McKinsey/ General Electric (GE) для анализа ассортимента и разработки стратегии бизнеса:</w:t>
      </w:r>
      <w:r w:rsidRPr="00D10148">
        <w:rPr>
          <w:rStyle w:val="apple-converted-space"/>
        </w:rPr>
        <w:t> </w:t>
      </w:r>
      <w:hyperlink r:id="rId8" w:tooltip="Пример построения матрицы Mckinsey/ General Electric (GE)" w:history="1">
        <w:r w:rsidRPr="00D10148">
          <w:rPr>
            <w:rStyle w:val="a5"/>
          </w:rPr>
          <w:t>«Пример построения матрицы Mckinsey/ General Electric (GE)»</w:t>
        </w:r>
      </w:hyperlink>
      <w:r w:rsidRPr="00D10148">
        <w:t>.</w:t>
      </w:r>
    </w:p>
    <w:p w:rsidR="000B0B27" w:rsidRPr="00D10148" w:rsidRDefault="000B0B27" w:rsidP="000B0B27">
      <w:pPr>
        <w:pStyle w:val="2"/>
        <w:jc w:val="both"/>
        <w:rPr>
          <w:rFonts w:ascii="Times New Roman" w:hAnsi="Times New Roman"/>
          <w:b w:val="0"/>
          <w:bCs w:val="0"/>
        </w:rPr>
      </w:pPr>
      <w:bookmarkStart w:id="0" w:name="ff"/>
      <w:bookmarkEnd w:id="0"/>
      <w:r w:rsidRPr="00D10148">
        <w:rPr>
          <w:rFonts w:ascii="Times New Roman" w:hAnsi="Times New Roman"/>
          <w:b w:val="0"/>
          <w:bCs w:val="0"/>
          <w:lang w:val="ru-RU"/>
        </w:rPr>
        <w:t>Э</w:t>
      </w:r>
      <w:r w:rsidRPr="00D10148">
        <w:rPr>
          <w:rFonts w:ascii="Times New Roman" w:hAnsi="Times New Roman"/>
          <w:b w:val="0"/>
          <w:bCs w:val="0"/>
        </w:rPr>
        <w:t>тапы разработки матрицы</w:t>
      </w:r>
    </w:p>
    <w:p w:rsidR="000B0B27" w:rsidRPr="00D10148" w:rsidRDefault="000B0B27" w:rsidP="000B0B27">
      <w:pPr>
        <w:pStyle w:val="a3"/>
        <w:spacing w:before="0" w:beforeAutospacing="0" w:after="0" w:afterAutospacing="0"/>
        <w:jc w:val="both"/>
      </w:pPr>
      <w:r w:rsidRPr="00D10148">
        <w:t>Выделяют 5 ключевых последовательных этапов для правильного построения матрицы:</w:t>
      </w:r>
    </w:p>
    <w:p w:rsidR="000B0B27" w:rsidRPr="00D10148" w:rsidRDefault="000B0B27" w:rsidP="000B0B27">
      <w:pPr>
        <w:pStyle w:val="a3"/>
        <w:spacing w:before="0" w:beforeAutospacing="0" w:after="0" w:afterAutospacing="0"/>
        <w:jc w:val="both"/>
      </w:pPr>
      <w:r w:rsidRPr="00D10148">
        <w:rPr>
          <w:noProof/>
        </w:rPr>
        <w:drawing>
          <wp:inline distT="0" distB="0" distL="0" distR="0" wp14:anchorId="55BC5E3F" wp14:editId="367876CC">
            <wp:extent cx="8822055" cy="2720975"/>
            <wp:effectExtent l="0" t="0" r="0" b="3175"/>
            <wp:docPr id="246" name="Рисунок 246" descr="mckinsey-matrix-proces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ckinsey-matrix-process"/>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8822055" cy="2720975"/>
                    </a:xfrm>
                    <a:prstGeom prst="rect">
                      <a:avLst/>
                    </a:prstGeom>
                    <a:noFill/>
                    <a:ln>
                      <a:noFill/>
                    </a:ln>
                  </pic:spPr>
                </pic:pic>
              </a:graphicData>
            </a:graphic>
          </wp:inline>
        </w:drawing>
      </w:r>
    </w:p>
    <w:p w:rsidR="000B0B27" w:rsidRPr="00D10148" w:rsidRDefault="000B0B27" w:rsidP="000B0B27">
      <w:pPr>
        <w:numPr>
          <w:ilvl w:val="0"/>
          <w:numId w:val="2"/>
        </w:numPr>
        <w:ind w:left="0"/>
        <w:jc w:val="both"/>
        <w:rPr>
          <w:rFonts w:ascii="Times New Roman" w:hAnsi="Times New Roman"/>
          <w:sz w:val="24"/>
        </w:rPr>
      </w:pPr>
      <w:r w:rsidRPr="00D10148">
        <w:rPr>
          <w:rFonts w:ascii="Times New Roman" w:hAnsi="Times New Roman"/>
          <w:sz w:val="24"/>
        </w:rPr>
        <w:lastRenderedPageBreak/>
        <w:t>Выбор критериев для измерения привлекательности сегментов и оценки уровня конкурентоспособности компании в каждом сегменте</w:t>
      </w:r>
    </w:p>
    <w:p w:rsidR="000B0B27" w:rsidRPr="00D10148" w:rsidRDefault="000B0B27" w:rsidP="000B0B27">
      <w:pPr>
        <w:numPr>
          <w:ilvl w:val="0"/>
          <w:numId w:val="2"/>
        </w:numPr>
        <w:ind w:left="0"/>
        <w:jc w:val="both"/>
        <w:rPr>
          <w:rFonts w:ascii="Times New Roman" w:hAnsi="Times New Roman"/>
          <w:sz w:val="24"/>
        </w:rPr>
      </w:pPr>
      <w:r w:rsidRPr="00D10148">
        <w:rPr>
          <w:rFonts w:ascii="Times New Roman" w:hAnsi="Times New Roman"/>
          <w:sz w:val="24"/>
        </w:rPr>
        <w:t>Определение веса (= важность) каждого критерия привлекательности и конкурентоспособности</w:t>
      </w:r>
    </w:p>
    <w:p w:rsidR="000B0B27" w:rsidRPr="00D10148" w:rsidRDefault="000B0B27" w:rsidP="000B0B27">
      <w:pPr>
        <w:numPr>
          <w:ilvl w:val="0"/>
          <w:numId w:val="2"/>
        </w:numPr>
        <w:ind w:left="0"/>
        <w:jc w:val="both"/>
        <w:rPr>
          <w:rFonts w:ascii="Times New Roman" w:hAnsi="Times New Roman"/>
          <w:sz w:val="24"/>
        </w:rPr>
      </w:pPr>
      <w:r w:rsidRPr="00D10148">
        <w:rPr>
          <w:rFonts w:ascii="Times New Roman" w:hAnsi="Times New Roman"/>
          <w:sz w:val="24"/>
        </w:rPr>
        <w:t>Оценка каждого сегмента по выбранным критериям привлекательности и конкурентоспособности</w:t>
      </w:r>
    </w:p>
    <w:p w:rsidR="000B0B27" w:rsidRPr="00D10148" w:rsidRDefault="000B0B27" w:rsidP="000B0B27">
      <w:pPr>
        <w:numPr>
          <w:ilvl w:val="0"/>
          <w:numId w:val="2"/>
        </w:numPr>
        <w:ind w:left="0"/>
        <w:jc w:val="both"/>
        <w:rPr>
          <w:rFonts w:ascii="Times New Roman" w:hAnsi="Times New Roman"/>
          <w:sz w:val="24"/>
        </w:rPr>
      </w:pPr>
      <w:r w:rsidRPr="00D10148">
        <w:rPr>
          <w:rFonts w:ascii="Times New Roman" w:hAnsi="Times New Roman"/>
          <w:sz w:val="24"/>
        </w:rPr>
        <w:t>Определение потенциала каждого сегмента на основе потребительских и рыночных трендов</w:t>
      </w:r>
    </w:p>
    <w:p w:rsidR="000B0B27" w:rsidRPr="00D10148" w:rsidRDefault="000B0B27" w:rsidP="000B0B27">
      <w:pPr>
        <w:numPr>
          <w:ilvl w:val="0"/>
          <w:numId w:val="2"/>
        </w:numPr>
        <w:ind w:left="0"/>
        <w:jc w:val="both"/>
        <w:rPr>
          <w:rFonts w:ascii="Times New Roman" w:hAnsi="Times New Roman"/>
          <w:sz w:val="24"/>
        </w:rPr>
      </w:pPr>
      <w:r w:rsidRPr="00D10148">
        <w:rPr>
          <w:rFonts w:ascii="Times New Roman" w:hAnsi="Times New Roman"/>
          <w:sz w:val="24"/>
        </w:rPr>
        <w:t>Выбор целевых сегментов и распределение ресурсов компании</w:t>
      </w:r>
    </w:p>
    <w:p w:rsidR="000B0B27" w:rsidRPr="00D10148" w:rsidRDefault="000B0B27" w:rsidP="000B0B27">
      <w:pPr>
        <w:pStyle w:val="a3"/>
        <w:spacing w:before="0" w:beforeAutospacing="0" w:after="0" w:afterAutospacing="0"/>
        <w:jc w:val="both"/>
      </w:pPr>
      <w:bookmarkStart w:id="1" w:name="fff"/>
      <w:bookmarkEnd w:id="1"/>
    </w:p>
    <w:p w:rsidR="000B0B27" w:rsidRPr="00D10148" w:rsidRDefault="000B0B27" w:rsidP="000B0B27">
      <w:pPr>
        <w:pStyle w:val="2"/>
        <w:jc w:val="both"/>
        <w:rPr>
          <w:rFonts w:ascii="Times New Roman" w:hAnsi="Times New Roman"/>
          <w:b w:val="0"/>
          <w:bCs w:val="0"/>
        </w:rPr>
      </w:pPr>
      <w:r w:rsidRPr="00D10148">
        <w:rPr>
          <w:rFonts w:ascii="Times New Roman" w:hAnsi="Times New Roman"/>
          <w:b w:val="0"/>
          <w:bCs w:val="0"/>
        </w:rPr>
        <w:t>Основные показатели модели</w:t>
      </w:r>
    </w:p>
    <w:p w:rsidR="000B0B27" w:rsidRPr="00D10148" w:rsidRDefault="000B0B27" w:rsidP="000B0B27">
      <w:pPr>
        <w:pStyle w:val="a3"/>
        <w:spacing w:before="0" w:beforeAutospacing="0" w:after="0" w:afterAutospacing="0"/>
        <w:jc w:val="both"/>
      </w:pPr>
      <w:r w:rsidRPr="00D10148">
        <w:t>В основе матрицы McKinsey/ General Electric (GE) лежит два показателя: привлекательность рынка, на который хочет вступить или на котором уже существует компания; и преимущества в конкуренции или конкурентоспособность товара компании на данном рынке. От силы данных показателей зависит портфельная стратегия компании:</w:t>
      </w:r>
    </w:p>
    <w:p w:rsidR="000B0B27" w:rsidRPr="00D10148" w:rsidRDefault="000B0B27" w:rsidP="000B0B27">
      <w:pPr>
        <w:numPr>
          <w:ilvl w:val="0"/>
          <w:numId w:val="3"/>
        </w:numPr>
        <w:ind w:left="0"/>
        <w:jc w:val="both"/>
        <w:rPr>
          <w:rFonts w:ascii="Times New Roman" w:hAnsi="Times New Roman"/>
          <w:sz w:val="24"/>
        </w:rPr>
      </w:pPr>
      <w:r w:rsidRPr="00D10148">
        <w:rPr>
          <w:rFonts w:ascii="Times New Roman" w:hAnsi="Times New Roman"/>
          <w:sz w:val="24"/>
        </w:rPr>
        <w:t>чем выше конкурентоспособность товара, и чем выше привлекательность рынка — тем выше потенциал достижения успехов в данном направлении бизнеса</w:t>
      </w:r>
    </w:p>
    <w:p w:rsidR="000B0B27" w:rsidRPr="00D10148" w:rsidRDefault="000B0B27" w:rsidP="000B0B27">
      <w:pPr>
        <w:numPr>
          <w:ilvl w:val="0"/>
          <w:numId w:val="3"/>
        </w:numPr>
        <w:ind w:left="0"/>
        <w:jc w:val="both"/>
        <w:rPr>
          <w:rFonts w:ascii="Times New Roman" w:hAnsi="Times New Roman"/>
          <w:sz w:val="24"/>
        </w:rPr>
      </w:pPr>
      <w:r w:rsidRPr="00D10148">
        <w:rPr>
          <w:rFonts w:ascii="Times New Roman" w:hAnsi="Times New Roman"/>
          <w:sz w:val="24"/>
        </w:rPr>
        <w:t>чем слабее товар компании относительно конкурентов, чем ниже привлекательность отрасли — тем ниже возможности для роста бизнеса в данном направлении</w:t>
      </w:r>
    </w:p>
    <w:p w:rsidR="000B0B27" w:rsidRPr="00D10148" w:rsidRDefault="000B0B27" w:rsidP="000B0B27">
      <w:pPr>
        <w:pStyle w:val="a3"/>
        <w:spacing w:before="0" w:beforeAutospacing="0" w:after="0" w:afterAutospacing="0"/>
        <w:jc w:val="both"/>
      </w:pPr>
      <w:r w:rsidRPr="00D10148">
        <w:t>Критерии привлекательности и конкурентоспособности рождаются из анализа внешней среды (рынка) и внутренней среды (имеющихся ресурсов компании). Критерии очень перекликаются с критериями</w:t>
      </w:r>
      <w:hyperlink r:id="rId10" w:tooltip="SWOT анализ. Полное практическое руководство." w:history="1">
        <w:r w:rsidRPr="00D10148">
          <w:rPr>
            <w:rStyle w:val="a5"/>
          </w:rPr>
          <w:t>SWOT-анализа</w:t>
        </w:r>
      </w:hyperlink>
      <w:r w:rsidRPr="00D10148">
        <w:rPr>
          <w:rStyle w:val="apple-converted-space"/>
        </w:rPr>
        <w:t> </w:t>
      </w:r>
      <w:r w:rsidRPr="00D10148">
        <w:t>и могут быть заимствованы из него.</w:t>
      </w:r>
    </w:p>
    <w:p w:rsidR="000B0B27" w:rsidRPr="00D10148" w:rsidRDefault="000B0B27" w:rsidP="000B0B27">
      <w:pPr>
        <w:pStyle w:val="a3"/>
        <w:spacing w:before="0" w:beforeAutospacing="0" w:after="0" w:afterAutospacing="0"/>
        <w:jc w:val="both"/>
      </w:pPr>
      <w:r w:rsidRPr="00D10148">
        <w:t>Не существует универсального списка критериев привлекательности и конкурентоспособности. Под каждый конкретный анализ составляется отдельный список на основе имеющейся информации у компании.</w:t>
      </w:r>
    </w:p>
    <w:p w:rsidR="000B0B27" w:rsidRPr="00D10148" w:rsidRDefault="000B0B27" w:rsidP="000B0B27">
      <w:pPr>
        <w:pStyle w:val="a3"/>
        <w:spacing w:before="0" w:beforeAutospacing="0" w:after="0" w:afterAutospacing="0"/>
        <w:jc w:val="both"/>
      </w:pPr>
      <w:bookmarkStart w:id="2" w:name="ffff"/>
      <w:bookmarkEnd w:id="2"/>
    </w:p>
    <w:p w:rsidR="000B0B27" w:rsidRPr="00D10148" w:rsidRDefault="000B0B27" w:rsidP="000B0B27">
      <w:pPr>
        <w:pStyle w:val="2"/>
        <w:jc w:val="both"/>
        <w:rPr>
          <w:rFonts w:ascii="Times New Roman" w:hAnsi="Times New Roman"/>
          <w:b w:val="0"/>
          <w:bCs w:val="0"/>
        </w:rPr>
      </w:pPr>
      <w:r w:rsidRPr="00D10148">
        <w:rPr>
          <w:rFonts w:ascii="Times New Roman" w:hAnsi="Times New Roman"/>
          <w:b w:val="0"/>
          <w:bCs w:val="0"/>
        </w:rPr>
        <w:t>Показатели для оценки привлекательности сегмента</w:t>
      </w:r>
    </w:p>
    <w:p w:rsidR="000B0B27" w:rsidRPr="00D10148" w:rsidRDefault="000B0B27" w:rsidP="000B0B27">
      <w:pPr>
        <w:pStyle w:val="a3"/>
        <w:spacing w:before="0" w:beforeAutospacing="0" w:after="0" w:afterAutospacing="0"/>
        <w:jc w:val="both"/>
      </w:pPr>
      <w:r w:rsidRPr="00D10148">
        <w:t>Привлекательность рынка по методу Маккинзи означает:</w:t>
      </w:r>
    </w:p>
    <w:p w:rsidR="000B0B27" w:rsidRPr="00D10148" w:rsidRDefault="000B0B27" w:rsidP="000B0B27">
      <w:pPr>
        <w:numPr>
          <w:ilvl w:val="0"/>
          <w:numId w:val="4"/>
        </w:numPr>
        <w:ind w:left="0"/>
        <w:jc w:val="both"/>
        <w:rPr>
          <w:rFonts w:ascii="Times New Roman" w:hAnsi="Times New Roman"/>
          <w:sz w:val="24"/>
        </w:rPr>
      </w:pPr>
      <w:r w:rsidRPr="00D10148">
        <w:rPr>
          <w:rFonts w:ascii="Times New Roman" w:hAnsi="Times New Roman"/>
          <w:sz w:val="24"/>
        </w:rPr>
        <w:t>привлекательность сегмента с точки зрения потенциальных объемов продаж</w:t>
      </w:r>
    </w:p>
    <w:p w:rsidR="000B0B27" w:rsidRPr="00D10148" w:rsidRDefault="000B0B27" w:rsidP="000B0B27">
      <w:pPr>
        <w:numPr>
          <w:ilvl w:val="0"/>
          <w:numId w:val="4"/>
        </w:numPr>
        <w:ind w:left="0"/>
        <w:jc w:val="both"/>
        <w:rPr>
          <w:rFonts w:ascii="Times New Roman" w:hAnsi="Times New Roman"/>
          <w:sz w:val="24"/>
        </w:rPr>
      </w:pPr>
      <w:r w:rsidRPr="00D10148">
        <w:rPr>
          <w:rFonts w:ascii="Times New Roman" w:hAnsi="Times New Roman"/>
          <w:sz w:val="24"/>
        </w:rPr>
        <w:t>низкие барьеры входа в сегмент для новых игроков</w:t>
      </w:r>
    </w:p>
    <w:p w:rsidR="000B0B27" w:rsidRPr="00D10148" w:rsidRDefault="000B0B27" w:rsidP="000B0B27">
      <w:pPr>
        <w:numPr>
          <w:ilvl w:val="0"/>
          <w:numId w:val="4"/>
        </w:numPr>
        <w:ind w:left="0"/>
        <w:jc w:val="both"/>
        <w:rPr>
          <w:rFonts w:ascii="Times New Roman" w:hAnsi="Times New Roman"/>
          <w:sz w:val="24"/>
        </w:rPr>
      </w:pPr>
      <w:r w:rsidRPr="00D10148">
        <w:rPr>
          <w:rFonts w:ascii="Times New Roman" w:hAnsi="Times New Roman"/>
          <w:sz w:val="24"/>
        </w:rPr>
        <w:t>способность сегмента обеспечить долгосрочную прибыль компании;</w:t>
      </w:r>
    </w:p>
    <w:p w:rsidR="000B0B27" w:rsidRPr="00D10148" w:rsidRDefault="000B0B27" w:rsidP="000B0B27">
      <w:pPr>
        <w:numPr>
          <w:ilvl w:val="0"/>
          <w:numId w:val="4"/>
        </w:numPr>
        <w:ind w:left="0"/>
        <w:jc w:val="both"/>
        <w:rPr>
          <w:rFonts w:ascii="Times New Roman" w:hAnsi="Times New Roman"/>
          <w:sz w:val="24"/>
        </w:rPr>
      </w:pPr>
      <w:r w:rsidRPr="00D10148">
        <w:rPr>
          <w:rFonts w:ascii="Times New Roman" w:hAnsi="Times New Roman"/>
          <w:sz w:val="24"/>
        </w:rPr>
        <w:t>отсутствие рисков на рынке (риски = потенциальный угрозы, которые влияют на нестабильность продаж сегмента в долгосрочном периоде)</w:t>
      </w:r>
    </w:p>
    <w:p w:rsidR="000B0B27" w:rsidRPr="00D10148" w:rsidRDefault="000B0B27" w:rsidP="000B0B27">
      <w:pPr>
        <w:pStyle w:val="a3"/>
        <w:spacing w:before="0" w:beforeAutospacing="0" w:after="0" w:afterAutospacing="0"/>
        <w:jc w:val="both"/>
      </w:pPr>
      <w:r w:rsidRPr="00D10148">
        <w:t>Критерии привлекательности включают в себя рыночные факторы, потребительские факторы и факторы, описывающие тенденции/ динамику сегмента. Принятие решения о вхождении или не вхождении в сегмент должно строится на оценке возможности компании завоевать лояльность потребителей, которую проще получить, предлагая уникальный, не имеющий аналогов и в тоже время максимально удовлетворяющий актуальные потребности товар. В противном случае выход в сегмент без уникального, действительно нужного продукта повышает вероятность неудачного входа на высоко-конкурентные рынки.</w:t>
      </w:r>
    </w:p>
    <w:p w:rsidR="000B0B27" w:rsidRPr="00D10148" w:rsidRDefault="000B0B27" w:rsidP="000B0B27">
      <w:pPr>
        <w:pStyle w:val="3"/>
        <w:spacing w:before="0"/>
        <w:jc w:val="both"/>
        <w:rPr>
          <w:rFonts w:ascii="Times New Roman" w:hAnsi="Times New Roman"/>
          <w:b w:val="0"/>
          <w:bCs w:val="0"/>
          <w:color w:val="auto"/>
        </w:rPr>
      </w:pPr>
      <w:r w:rsidRPr="00D10148">
        <w:rPr>
          <w:rFonts w:ascii="Times New Roman" w:hAnsi="Times New Roman"/>
          <w:b w:val="0"/>
          <w:bCs w:val="0"/>
          <w:color w:val="auto"/>
        </w:rPr>
        <w:t>Рыночные факторы</w:t>
      </w:r>
    </w:p>
    <w:p w:rsidR="000B0B27" w:rsidRPr="00D10148" w:rsidRDefault="000B0B27" w:rsidP="000B0B27">
      <w:pPr>
        <w:pStyle w:val="a3"/>
        <w:spacing w:before="0" w:beforeAutospacing="0" w:after="0" w:afterAutospacing="0"/>
        <w:jc w:val="both"/>
      </w:pPr>
      <w:r w:rsidRPr="00D10148">
        <w:t>К рыночным факторам привлекательности сегмента относятся: текущий размер сегмента или</w:t>
      </w:r>
      <w:r w:rsidRPr="00D10148">
        <w:rPr>
          <w:rStyle w:val="apple-converted-space"/>
        </w:rPr>
        <w:t> </w:t>
      </w:r>
      <w:hyperlink r:id="rId11" w:tooltip="Емкость рынка" w:history="1">
        <w:r w:rsidRPr="00D10148">
          <w:rPr>
            <w:rStyle w:val="a5"/>
          </w:rPr>
          <w:t>емкость рынка</w:t>
        </w:r>
      </w:hyperlink>
      <w:r w:rsidRPr="00D10148">
        <w:t>; уровень развития сегмента и его потенциальная емкость в натуральном и стоимостном выражении; темп роста сегмента за последние 3 года; возможность дальнейшего расширения ассортимента бренда при входе в сегмент; количество игроков в сегменте и динамика их продаж; наличие рекламной поддержки в сегменте.</w:t>
      </w:r>
    </w:p>
    <w:p w:rsidR="000B0B27" w:rsidRPr="00D10148" w:rsidRDefault="000B0B27" w:rsidP="000B0B27">
      <w:pPr>
        <w:pStyle w:val="a3"/>
        <w:spacing w:before="0" w:beforeAutospacing="0" w:after="0" w:afterAutospacing="0"/>
        <w:jc w:val="both"/>
      </w:pPr>
      <w:r w:rsidRPr="00D10148">
        <w:t>Сегмент считается привлекательным для компании по рыночным факторам, если:</w:t>
      </w:r>
    </w:p>
    <w:p w:rsidR="000B0B27" w:rsidRPr="00D10148" w:rsidRDefault="000B0B27" w:rsidP="000B0B27">
      <w:pPr>
        <w:numPr>
          <w:ilvl w:val="0"/>
          <w:numId w:val="5"/>
        </w:numPr>
        <w:ind w:left="0"/>
        <w:jc w:val="both"/>
        <w:rPr>
          <w:rFonts w:ascii="Times New Roman" w:hAnsi="Times New Roman"/>
          <w:sz w:val="24"/>
        </w:rPr>
      </w:pPr>
      <w:r w:rsidRPr="00D10148">
        <w:rPr>
          <w:rFonts w:ascii="Times New Roman" w:hAnsi="Times New Roman"/>
          <w:sz w:val="24"/>
        </w:rPr>
        <w:t>размер сегмента большой (1-4 место на всем рынке — рекомендуется смотреть на стоимостное значение емкости рынка</w:t>
      </w:r>
    </w:p>
    <w:p w:rsidR="000B0B27" w:rsidRPr="00D10148" w:rsidRDefault="000B0B27" w:rsidP="000B0B27">
      <w:pPr>
        <w:numPr>
          <w:ilvl w:val="0"/>
          <w:numId w:val="5"/>
        </w:numPr>
        <w:ind w:left="0"/>
        <w:jc w:val="both"/>
        <w:rPr>
          <w:rFonts w:ascii="Times New Roman" w:hAnsi="Times New Roman"/>
          <w:sz w:val="24"/>
        </w:rPr>
      </w:pPr>
      <w:r w:rsidRPr="00D10148">
        <w:rPr>
          <w:rFonts w:ascii="Times New Roman" w:hAnsi="Times New Roman"/>
          <w:sz w:val="24"/>
        </w:rPr>
        <w:t>темпы роста сегмента превышают темп роста рынка (как в натуральном, так и в стоимостном выражении)</w:t>
      </w:r>
    </w:p>
    <w:p w:rsidR="000B0B27" w:rsidRPr="00D10148" w:rsidRDefault="000B0B27" w:rsidP="000B0B27">
      <w:pPr>
        <w:numPr>
          <w:ilvl w:val="0"/>
          <w:numId w:val="5"/>
        </w:numPr>
        <w:ind w:left="0"/>
        <w:jc w:val="both"/>
        <w:rPr>
          <w:rFonts w:ascii="Times New Roman" w:hAnsi="Times New Roman"/>
          <w:sz w:val="24"/>
        </w:rPr>
      </w:pPr>
      <w:r w:rsidRPr="00D10148">
        <w:rPr>
          <w:rFonts w:ascii="Times New Roman" w:hAnsi="Times New Roman"/>
          <w:sz w:val="24"/>
        </w:rPr>
        <w:lastRenderedPageBreak/>
        <w:t>в сегменте присутствует ограниченное количество игроков без инвестиций в рекламу</w:t>
      </w:r>
    </w:p>
    <w:p w:rsidR="000B0B27" w:rsidRPr="00D10148" w:rsidRDefault="000B0B27" w:rsidP="000B0B27">
      <w:pPr>
        <w:numPr>
          <w:ilvl w:val="0"/>
          <w:numId w:val="5"/>
        </w:numPr>
        <w:ind w:left="0"/>
        <w:jc w:val="both"/>
        <w:rPr>
          <w:rFonts w:ascii="Times New Roman" w:hAnsi="Times New Roman"/>
          <w:sz w:val="24"/>
        </w:rPr>
      </w:pPr>
      <w:r w:rsidRPr="00D10148">
        <w:rPr>
          <w:rFonts w:ascii="Times New Roman" w:hAnsi="Times New Roman"/>
          <w:sz w:val="24"/>
        </w:rPr>
        <w:t>при успешном входе в сегмент возможно дальнейшие расширение ассортимента</w:t>
      </w:r>
    </w:p>
    <w:p w:rsidR="000B0B27" w:rsidRPr="00D10148" w:rsidRDefault="000B0B27" w:rsidP="000B0B27">
      <w:pPr>
        <w:pStyle w:val="3"/>
        <w:spacing w:before="0"/>
        <w:jc w:val="both"/>
        <w:rPr>
          <w:rFonts w:ascii="Times New Roman" w:hAnsi="Times New Roman"/>
          <w:b w:val="0"/>
          <w:bCs w:val="0"/>
          <w:color w:val="auto"/>
        </w:rPr>
      </w:pPr>
      <w:r w:rsidRPr="00D10148">
        <w:rPr>
          <w:rFonts w:ascii="Times New Roman" w:hAnsi="Times New Roman"/>
          <w:b w:val="0"/>
          <w:bCs w:val="0"/>
          <w:color w:val="auto"/>
        </w:rPr>
        <w:t>Потребительские факторы</w:t>
      </w:r>
    </w:p>
    <w:p w:rsidR="000B0B27" w:rsidRPr="00D10148" w:rsidRDefault="000B0B27" w:rsidP="000B0B27">
      <w:pPr>
        <w:pStyle w:val="a3"/>
        <w:spacing w:before="0" w:beforeAutospacing="0" w:after="0" w:afterAutospacing="0"/>
        <w:jc w:val="both"/>
      </w:pPr>
      <w:r w:rsidRPr="00D10148">
        <w:t>К потребительским факторам привлекательности сегмента относятся: размер целевой аудитории; культура потребления товаров в сегменте (развита или не развита); уровень знания и лояльности к товарам конкурентов; существование неудовлетворенных или скрытых потребностей у потребителей сегмента.</w:t>
      </w:r>
    </w:p>
    <w:p w:rsidR="000B0B27" w:rsidRPr="00D10148" w:rsidRDefault="000B0B27" w:rsidP="000B0B27">
      <w:pPr>
        <w:pStyle w:val="a3"/>
        <w:spacing w:before="0" w:beforeAutospacing="0" w:after="0" w:afterAutospacing="0"/>
        <w:jc w:val="both"/>
      </w:pPr>
      <w:r w:rsidRPr="00D10148">
        <w:t>Сегмент считается привлекательным для компании по потребительским факторам, если:</w:t>
      </w:r>
    </w:p>
    <w:p w:rsidR="000B0B27" w:rsidRPr="00D10148" w:rsidRDefault="000B0B27" w:rsidP="000B0B27">
      <w:pPr>
        <w:numPr>
          <w:ilvl w:val="0"/>
          <w:numId w:val="6"/>
        </w:numPr>
        <w:ind w:left="0"/>
        <w:jc w:val="both"/>
        <w:rPr>
          <w:rFonts w:ascii="Times New Roman" w:hAnsi="Times New Roman"/>
          <w:sz w:val="24"/>
        </w:rPr>
      </w:pPr>
      <w:r w:rsidRPr="00D10148">
        <w:rPr>
          <w:rFonts w:ascii="Times New Roman" w:hAnsi="Times New Roman"/>
          <w:sz w:val="24"/>
        </w:rPr>
        <w:t>размер потребительской базы сегмента большой (1-4 место на всем рынка)</w:t>
      </w:r>
    </w:p>
    <w:p w:rsidR="000B0B27" w:rsidRPr="00D10148" w:rsidRDefault="000B0B27" w:rsidP="000B0B27">
      <w:pPr>
        <w:numPr>
          <w:ilvl w:val="0"/>
          <w:numId w:val="6"/>
        </w:numPr>
        <w:ind w:left="0"/>
        <w:jc w:val="both"/>
        <w:rPr>
          <w:rFonts w:ascii="Times New Roman" w:hAnsi="Times New Roman"/>
          <w:sz w:val="24"/>
        </w:rPr>
      </w:pPr>
      <w:r w:rsidRPr="00D10148">
        <w:rPr>
          <w:rFonts w:ascii="Times New Roman" w:hAnsi="Times New Roman"/>
          <w:sz w:val="24"/>
        </w:rPr>
        <w:t>низкий уровень культуры потребления продукта — высокий потенциал роста рынка</w:t>
      </w:r>
    </w:p>
    <w:p w:rsidR="000B0B27" w:rsidRPr="00D10148" w:rsidRDefault="000B0B27" w:rsidP="000B0B27">
      <w:pPr>
        <w:numPr>
          <w:ilvl w:val="0"/>
          <w:numId w:val="6"/>
        </w:numPr>
        <w:ind w:left="0"/>
        <w:jc w:val="both"/>
        <w:rPr>
          <w:rFonts w:ascii="Times New Roman" w:hAnsi="Times New Roman"/>
          <w:sz w:val="24"/>
        </w:rPr>
      </w:pPr>
      <w:r w:rsidRPr="00D10148">
        <w:rPr>
          <w:rFonts w:ascii="Times New Roman" w:hAnsi="Times New Roman"/>
          <w:sz w:val="24"/>
        </w:rPr>
        <w:t>уровень знания конкурирующих брендов среди аудитории не высок, уровень лояльности низкий</w:t>
      </w:r>
    </w:p>
    <w:p w:rsidR="000B0B27" w:rsidRPr="00D10148" w:rsidRDefault="000B0B27" w:rsidP="000B0B27">
      <w:pPr>
        <w:numPr>
          <w:ilvl w:val="0"/>
          <w:numId w:val="6"/>
        </w:numPr>
        <w:ind w:left="0"/>
        <w:jc w:val="both"/>
        <w:rPr>
          <w:rFonts w:ascii="Times New Roman" w:hAnsi="Times New Roman"/>
          <w:sz w:val="24"/>
        </w:rPr>
      </w:pPr>
      <w:r w:rsidRPr="00D10148">
        <w:rPr>
          <w:rFonts w:ascii="Times New Roman" w:hAnsi="Times New Roman"/>
          <w:sz w:val="24"/>
        </w:rPr>
        <w:t>часть текущих потребностей потребителя в товаре не удовлетворена, существуют скрытые и неудовлетворенные потребности</w:t>
      </w:r>
    </w:p>
    <w:p w:rsidR="000B0B27" w:rsidRPr="00D10148" w:rsidRDefault="000B0B27" w:rsidP="000B0B27">
      <w:pPr>
        <w:pStyle w:val="a3"/>
        <w:spacing w:before="0" w:beforeAutospacing="0" w:after="0" w:afterAutospacing="0"/>
        <w:jc w:val="both"/>
      </w:pPr>
      <w:r w:rsidRPr="00D10148">
        <w:t>Потребительские факторы — являются наиболее важными факторами модели Mckinsey, так как оценивают наличие свободных рыночных ниш (анализируя существование неудовлетворенных потребностей покупателей).</w:t>
      </w:r>
    </w:p>
    <w:p w:rsidR="000B0B27" w:rsidRPr="00D10148" w:rsidRDefault="000B0B27" w:rsidP="000B0B27">
      <w:pPr>
        <w:pStyle w:val="3"/>
        <w:spacing w:before="0"/>
        <w:jc w:val="both"/>
        <w:rPr>
          <w:rFonts w:ascii="Times New Roman" w:hAnsi="Times New Roman"/>
          <w:b w:val="0"/>
          <w:bCs w:val="0"/>
          <w:color w:val="auto"/>
        </w:rPr>
      </w:pPr>
      <w:r w:rsidRPr="00D10148">
        <w:rPr>
          <w:rFonts w:ascii="Times New Roman" w:hAnsi="Times New Roman"/>
          <w:b w:val="0"/>
          <w:bCs w:val="0"/>
          <w:color w:val="auto"/>
        </w:rPr>
        <w:t>Тенденции рынка</w:t>
      </w:r>
    </w:p>
    <w:p w:rsidR="000B0B27" w:rsidRPr="00D10148" w:rsidRDefault="000B0B27" w:rsidP="000B0B27">
      <w:pPr>
        <w:pStyle w:val="a3"/>
        <w:spacing w:before="0" w:beforeAutospacing="0" w:after="0" w:afterAutospacing="0"/>
        <w:jc w:val="both"/>
      </w:pPr>
      <w:r w:rsidRPr="00D10148">
        <w:t>К к ключевым тенденциям рынка относятся: прогноз роста сегмента на ближайшие 5 лет (в стоимостном и натуральном выражении); анализ потребительских трендов (существуют ли предпосылки к изменению поведения потребителей); анализ рисков вызванных изменением макросреды — демографических, политических, природных, социально-культурных, экономических факторов; существование предпосылок для появления новых игроков рынка и ужесточение конкуренции.</w:t>
      </w:r>
    </w:p>
    <w:p w:rsidR="000B0B27" w:rsidRPr="00D10148" w:rsidRDefault="000B0B27" w:rsidP="000B0B27">
      <w:pPr>
        <w:pStyle w:val="a3"/>
        <w:spacing w:before="0" w:beforeAutospacing="0" w:after="0" w:afterAutospacing="0"/>
        <w:jc w:val="both"/>
      </w:pPr>
      <w:r w:rsidRPr="00D10148">
        <w:t>Сегмент считается привлекательным для компании по ключевым тенденциям, если:</w:t>
      </w:r>
    </w:p>
    <w:p w:rsidR="000B0B27" w:rsidRPr="00D10148" w:rsidRDefault="000B0B27" w:rsidP="000B0B27">
      <w:pPr>
        <w:numPr>
          <w:ilvl w:val="0"/>
          <w:numId w:val="7"/>
        </w:numPr>
        <w:ind w:left="0"/>
        <w:jc w:val="both"/>
        <w:rPr>
          <w:rFonts w:ascii="Times New Roman" w:hAnsi="Times New Roman"/>
          <w:sz w:val="24"/>
        </w:rPr>
      </w:pPr>
      <w:r w:rsidRPr="00D10148">
        <w:rPr>
          <w:rFonts w:ascii="Times New Roman" w:hAnsi="Times New Roman"/>
          <w:sz w:val="24"/>
        </w:rPr>
        <w:t>прогнозируется долгосрочный рост сегмента (в особенности, когда сегмент является самым быстрорастущим из оцениваемых альтернатив)</w:t>
      </w:r>
    </w:p>
    <w:p w:rsidR="000B0B27" w:rsidRPr="00D10148" w:rsidRDefault="000B0B27" w:rsidP="000B0B27">
      <w:pPr>
        <w:numPr>
          <w:ilvl w:val="0"/>
          <w:numId w:val="7"/>
        </w:numPr>
        <w:ind w:left="0"/>
        <w:jc w:val="both"/>
        <w:rPr>
          <w:rFonts w:ascii="Times New Roman" w:hAnsi="Times New Roman"/>
          <w:sz w:val="24"/>
        </w:rPr>
      </w:pPr>
      <w:r w:rsidRPr="00D10148">
        <w:rPr>
          <w:rFonts w:ascii="Times New Roman" w:hAnsi="Times New Roman"/>
          <w:sz w:val="24"/>
        </w:rPr>
        <w:t>существующие потребительские тренды благоприятны для входа на рынок</w:t>
      </w:r>
    </w:p>
    <w:p w:rsidR="000B0B27" w:rsidRPr="00D10148" w:rsidRDefault="000B0B27" w:rsidP="000B0B27">
      <w:pPr>
        <w:numPr>
          <w:ilvl w:val="0"/>
          <w:numId w:val="7"/>
        </w:numPr>
        <w:ind w:left="0"/>
        <w:jc w:val="both"/>
        <w:rPr>
          <w:rFonts w:ascii="Times New Roman" w:hAnsi="Times New Roman"/>
          <w:sz w:val="24"/>
        </w:rPr>
      </w:pPr>
      <w:r w:rsidRPr="00D10148">
        <w:rPr>
          <w:rFonts w:ascii="Times New Roman" w:hAnsi="Times New Roman"/>
          <w:sz w:val="24"/>
        </w:rPr>
        <w:t>минимальны риски влияния макросреды на снижение емкости рынка (риски: экономический кризис, смена власти, изменение климата, ужесточение климатических условий, снижение уровня жизни населения, уменьшение целевой аудитории из-за демографического спада и т.д.)</w:t>
      </w:r>
    </w:p>
    <w:p w:rsidR="000B0B27" w:rsidRPr="00D10148" w:rsidRDefault="000B0B27" w:rsidP="000B0B27">
      <w:pPr>
        <w:pStyle w:val="2"/>
        <w:jc w:val="both"/>
        <w:rPr>
          <w:rFonts w:ascii="Times New Roman" w:hAnsi="Times New Roman"/>
          <w:b w:val="0"/>
          <w:bCs w:val="0"/>
        </w:rPr>
      </w:pPr>
      <w:bookmarkStart w:id="3" w:name="fffff"/>
      <w:bookmarkEnd w:id="3"/>
      <w:r w:rsidRPr="00D10148">
        <w:rPr>
          <w:rFonts w:ascii="Times New Roman" w:hAnsi="Times New Roman"/>
          <w:b w:val="0"/>
          <w:bCs w:val="0"/>
          <w:lang w:val="ru-RU"/>
        </w:rPr>
        <w:t>П</w:t>
      </w:r>
      <w:r w:rsidRPr="00D10148">
        <w:rPr>
          <w:rFonts w:ascii="Times New Roman" w:hAnsi="Times New Roman"/>
          <w:b w:val="0"/>
          <w:bCs w:val="0"/>
        </w:rPr>
        <w:t>оказатели для оценки конкурентоспособности товара в сегменте</w:t>
      </w:r>
    </w:p>
    <w:p w:rsidR="000B0B27" w:rsidRPr="00D10148" w:rsidRDefault="000B0B27" w:rsidP="000B0B27">
      <w:pPr>
        <w:pStyle w:val="a3"/>
        <w:spacing w:before="0" w:beforeAutospacing="0" w:after="0" w:afterAutospacing="0"/>
        <w:jc w:val="both"/>
      </w:pPr>
      <w:r w:rsidRPr="00D10148">
        <w:t>Критерии конкурентоспособности должны отражать долгосрочную возможность компании конкурировать с существующими лидерами сегмента; критерии должны быть оценены с использованием сравнения с конкурентами. Критерии конкурентоспособности включают в себя факторы, описывающие силу конкурентного преимущества компании, ресурсные возможности компании и силу рыночной конкуренции.</w:t>
      </w:r>
    </w:p>
    <w:p w:rsidR="000B0B27" w:rsidRPr="00D10148" w:rsidRDefault="000B0B27" w:rsidP="000B0B27">
      <w:pPr>
        <w:pStyle w:val="3"/>
        <w:spacing w:before="0"/>
        <w:jc w:val="both"/>
        <w:rPr>
          <w:rFonts w:ascii="Times New Roman" w:hAnsi="Times New Roman"/>
          <w:b w:val="0"/>
          <w:bCs w:val="0"/>
          <w:color w:val="auto"/>
        </w:rPr>
      </w:pPr>
      <w:r w:rsidRPr="00D10148">
        <w:rPr>
          <w:rFonts w:ascii="Times New Roman" w:hAnsi="Times New Roman"/>
          <w:b w:val="0"/>
          <w:bCs w:val="0"/>
          <w:color w:val="auto"/>
        </w:rPr>
        <w:t>Конкурентоспособность товара</w:t>
      </w:r>
    </w:p>
    <w:p w:rsidR="000B0B27" w:rsidRPr="00D10148" w:rsidRDefault="000B0B27" w:rsidP="000B0B27">
      <w:pPr>
        <w:pStyle w:val="a3"/>
        <w:spacing w:before="0" w:beforeAutospacing="0" w:after="0" w:afterAutospacing="0"/>
        <w:jc w:val="both"/>
      </w:pPr>
      <w:r w:rsidRPr="00D10148">
        <w:t>К факторам, характеризующим конкурентоспособность товара на рынке, относятся: наличие у товара</w:t>
      </w:r>
      <w:hyperlink r:id="rId12" w:tooltip="В поисках конкурентного преимущества" w:history="1">
        <w:r w:rsidRPr="00D10148">
          <w:rPr>
            <w:rStyle w:val="a5"/>
          </w:rPr>
          <w:t>уникального торгового преимущества</w:t>
        </w:r>
      </w:hyperlink>
      <w:r w:rsidRPr="00D10148">
        <w:rPr>
          <w:rStyle w:val="apple-converted-space"/>
        </w:rPr>
        <w:t> </w:t>
      </w:r>
      <w:r w:rsidRPr="00D10148">
        <w:t>— возможность дифференцировать товар в сегменте; возможность обеспечить обязательные базовые характеристики товара на требуемом уровне.</w:t>
      </w:r>
    </w:p>
    <w:p w:rsidR="000B0B27" w:rsidRPr="00D10148" w:rsidRDefault="000B0B27" w:rsidP="000B0B27">
      <w:pPr>
        <w:pStyle w:val="a3"/>
        <w:spacing w:before="0" w:beforeAutospacing="0" w:after="0" w:afterAutospacing="0"/>
        <w:jc w:val="both"/>
      </w:pPr>
      <w:r w:rsidRPr="00D10148">
        <w:t>Компания способна конкурировать в сегменте, если товар компании имеет уникальное преимущество перед уже представленными на рынке товарами; товар компании способен удовлетворить базовые потребности в продукте на требуемом или на более эффективном уровне.</w:t>
      </w:r>
    </w:p>
    <w:p w:rsidR="000B0B27" w:rsidRPr="00D10148" w:rsidRDefault="000B0B27" w:rsidP="000B0B27">
      <w:pPr>
        <w:pStyle w:val="a3"/>
        <w:spacing w:before="0" w:beforeAutospacing="0" w:after="0" w:afterAutospacing="0"/>
        <w:jc w:val="both"/>
      </w:pPr>
      <w:r w:rsidRPr="00D10148">
        <w:t>Факторы конкурентоспособности товара в модели Mckinsey являются наиболее важными факторами. От того, насколько бренд компании будет отличаться от уже представленных в сегменте товаров, будет зависеть успех выхода в новый сегмент. Новые продукты, появляющиеся на рынке должны быть лучше по свойствам, доступнее, проще и комфортнее в использовании.</w:t>
      </w:r>
    </w:p>
    <w:p w:rsidR="000B0B27" w:rsidRPr="00D10148" w:rsidRDefault="000B0B27" w:rsidP="000B0B27">
      <w:pPr>
        <w:pStyle w:val="3"/>
        <w:spacing w:before="0"/>
        <w:jc w:val="both"/>
        <w:rPr>
          <w:rFonts w:ascii="Times New Roman" w:hAnsi="Times New Roman"/>
          <w:b w:val="0"/>
          <w:bCs w:val="0"/>
          <w:color w:val="auto"/>
        </w:rPr>
      </w:pPr>
      <w:r w:rsidRPr="00D10148">
        <w:rPr>
          <w:rFonts w:ascii="Times New Roman" w:hAnsi="Times New Roman"/>
          <w:b w:val="0"/>
          <w:bCs w:val="0"/>
          <w:color w:val="auto"/>
        </w:rPr>
        <w:lastRenderedPageBreak/>
        <w:t>Ресурсы компании</w:t>
      </w:r>
    </w:p>
    <w:p w:rsidR="000B0B27" w:rsidRPr="00D10148" w:rsidRDefault="000B0B27" w:rsidP="000B0B27">
      <w:pPr>
        <w:pStyle w:val="a3"/>
        <w:spacing w:before="0" w:beforeAutospacing="0" w:after="0" w:afterAutospacing="0"/>
        <w:jc w:val="both"/>
      </w:pPr>
      <w:r w:rsidRPr="00D10148">
        <w:t>К ресурсам компании, способным влиять на конкурентоспособность товара, относятся сила торговой марки компании; ресурсы в области финансов, маркетинга, квалификации персонала, распределения, канала продаж, логистики и т.п; скорость принятия решений и скорость реакции на изменения рынка.</w:t>
      </w:r>
    </w:p>
    <w:p w:rsidR="000B0B27" w:rsidRPr="00D10148" w:rsidRDefault="000B0B27" w:rsidP="000B0B27">
      <w:pPr>
        <w:pStyle w:val="a3"/>
        <w:spacing w:before="0" w:beforeAutospacing="0" w:after="0" w:afterAutospacing="0"/>
        <w:jc w:val="both"/>
      </w:pPr>
      <w:r w:rsidRPr="00D10148">
        <w:t>Компания способна конкурировать в сегменте, если она обладает более сильным или сопоставимым брендом; достаточными ресурсами в области финансирования, маркетинга, квалификации персонала, продаж и т.п. для работы на рынке; скорость реакции компании на рыночные изменения выше или на сопоставимом уровне с существующими игроками рынка.</w:t>
      </w:r>
    </w:p>
    <w:p w:rsidR="000B0B27" w:rsidRPr="00D10148" w:rsidRDefault="000B0B27" w:rsidP="000B0B27">
      <w:pPr>
        <w:pStyle w:val="3"/>
        <w:spacing w:before="0"/>
        <w:jc w:val="both"/>
        <w:rPr>
          <w:rFonts w:ascii="Times New Roman" w:hAnsi="Times New Roman"/>
          <w:b w:val="0"/>
          <w:bCs w:val="0"/>
          <w:color w:val="auto"/>
        </w:rPr>
      </w:pPr>
      <w:r w:rsidRPr="00D10148">
        <w:rPr>
          <w:rFonts w:ascii="Times New Roman" w:hAnsi="Times New Roman"/>
          <w:b w:val="0"/>
          <w:bCs w:val="0"/>
          <w:color w:val="auto"/>
        </w:rPr>
        <w:t>Сила конкуренции</w:t>
      </w:r>
    </w:p>
    <w:p w:rsidR="000B0B27" w:rsidRPr="00D10148" w:rsidRDefault="000B0B27" w:rsidP="000B0B27">
      <w:pPr>
        <w:pStyle w:val="a3"/>
        <w:spacing w:before="0" w:beforeAutospacing="0" w:after="0" w:afterAutospacing="0"/>
        <w:jc w:val="both"/>
      </w:pPr>
      <w:r w:rsidRPr="00D10148">
        <w:t>Сила конкуренции сегмента говорит о существовании угроз со стороны новых участников рынка; интенсивности конкуренции (насколько рынок поделен, насколько перенасыщен, насколько сильны и активны конкуренты); возможности игроков сформировать барьеры или дать ответный ход при входе компании в сегмент; возможности занять место в канале продаж и достичь целевого потребителя.</w:t>
      </w:r>
    </w:p>
    <w:p w:rsidR="000B0B27" w:rsidRPr="00D10148" w:rsidRDefault="000B0B27" w:rsidP="000B0B27">
      <w:pPr>
        <w:pStyle w:val="a3"/>
        <w:spacing w:before="0" w:beforeAutospacing="0" w:after="0" w:afterAutospacing="0"/>
        <w:jc w:val="both"/>
      </w:pPr>
      <w:r w:rsidRPr="00D10148">
        <w:t>Наиболее интересными для компании являются рынки с низким уровнем конкуренции (игроки малоактивны, рынок не насыщен и не поделен); а также сегменты, в которых конкуренты не способны оперативно сформировать ответные меры и в которых входные барьеры незначительны.</w:t>
      </w:r>
    </w:p>
    <w:p w:rsidR="000B0B27" w:rsidRPr="00D10148" w:rsidRDefault="000B0B27" w:rsidP="000B0B27">
      <w:pPr>
        <w:pStyle w:val="2"/>
        <w:jc w:val="both"/>
        <w:rPr>
          <w:rFonts w:ascii="Times New Roman" w:hAnsi="Times New Roman"/>
          <w:b w:val="0"/>
          <w:bCs w:val="0"/>
        </w:rPr>
      </w:pPr>
      <w:bookmarkStart w:id="4" w:name="ffffff"/>
      <w:bookmarkEnd w:id="4"/>
      <w:r w:rsidRPr="00D10148">
        <w:rPr>
          <w:rFonts w:ascii="Times New Roman" w:hAnsi="Times New Roman"/>
          <w:b w:val="0"/>
          <w:bCs w:val="0"/>
        </w:rPr>
        <w:t>Проверочное действие</w:t>
      </w:r>
    </w:p>
    <w:p w:rsidR="000B0B27" w:rsidRPr="00D10148" w:rsidRDefault="000B0B27" w:rsidP="000B0B27">
      <w:pPr>
        <w:pStyle w:val="a3"/>
        <w:spacing w:before="0" w:beforeAutospacing="0" w:after="0" w:afterAutospacing="0"/>
        <w:jc w:val="both"/>
      </w:pPr>
      <w:r w:rsidRPr="00D10148">
        <w:t>После того, как матрица General Electric (GE) / McKinsey построена и определено место в матрице для каждого направления бизнеса компании, рекомендуется еще раз оценить долгосрочный потенциал сегментов, оценить риски, которые могут повлиять на прибыльность компании в каждом сегменте.</w:t>
      </w:r>
    </w:p>
    <w:p w:rsidR="000B0B27" w:rsidRPr="00D10148" w:rsidRDefault="000B0B27" w:rsidP="000B0B27">
      <w:pPr>
        <w:pStyle w:val="a3"/>
        <w:spacing w:before="0" w:beforeAutospacing="0" w:after="0" w:afterAutospacing="0"/>
        <w:jc w:val="both"/>
      </w:pPr>
      <w:r w:rsidRPr="00D10148">
        <w:rPr>
          <w:rStyle w:val="a4"/>
          <w:b w:val="0"/>
          <w:bCs w:val="0"/>
        </w:rPr>
        <w:t>Потенциал сегмента можно оценить по следующим 7 факторам:</w:t>
      </w:r>
    </w:p>
    <w:p w:rsidR="000B0B27" w:rsidRPr="00D10148" w:rsidRDefault="000B0B27" w:rsidP="000B0B27">
      <w:pPr>
        <w:numPr>
          <w:ilvl w:val="0"/>
          <w:numId w:val="8"/>
        </w:numPr>
        <w:ind w:left="0"/>
        <w:jc w:val="both"/>
        <w:rPr>
          <w:rFonts w:ascii="Times New Roman" w:hAnsi="Times New Roman"/>
          <w:sz w:val="24"/>
        </w:rPr>
      </w:pPr>
      <w:r w:rsidRPr="00D10148">
        <w:rPr>
          <w:rFonts w:ascii="Times New Roman" w:hAnsi="Times New Roman"/>
          <w:sz w:val="24"/>
        </w:rPr>
        <w:t>разница между текущим и потенциальным объемом рынка (чем больше разница — тем больше потенциал)</w:t>
      </w:r>
    </w:p>
    <w:p w:rsidR="000B0B27" w:rsidRPr="00D10148" w:rsidRDefault="000B0B27" w:rsidP="000B0B27">
      <w:pPr>
        <w:numPr>
          <w:ilvl w:val="0"/>
          <w:numId w:val="8"/>
        </w:numPr>
        <w:ind w:left="0"/>
        <w:jc w:val="both"/>
        <w:rPr>
          <w:rFonts w:ascii="Times New Roman" w:hAnsi="Times New Roman"/>
          <w:sz w:val="24"/>
        </w:rPr>
      </w:pPr>
      <w:r w:rsidRPr="00D10148">
        <w:rPr>
          <w:rFonts w:ascii="Times New Roman" w:hAnsi="Times New Roman"/>
          <w:sz w:val="24"/>
        </w:rPr>
        <w:t>темпы роста сегмента на ближайшие 3-5- лет (чем выше темпы роста — тем выше потенциал)</w:t>
      </w:r>
    </w:p>
    <w:p w:rsidR="000B0B27" w:rsidRPr="00D10148" w:rsidRDefault="000B0B27" w:rsidP="000B0B27">
      <w:pPr>
        <w:numPr>
          <w:ilvl w:val="0"/>
          <w:numId w:val="8"/>
        </w:numPr>
        <w:ind w:left="0"/>
        <w:jc w:val="both"/>
        <w:rPr>
          <w:rFonts w:ascii="Times New Roman" w:hAnsi="Times New Roman"/>
          <w:sz w:val="24"/>
        </w:rPr>
      </w:pPr>
      <w:r w:rsidRPr="00D10148">
        <w:rPr>
          <w:rFonts w:ascii="Times New Roman" w:hAnsi="Times New Roman"/>
          <w:sz w:val="24"/>
        </w:rPr>
        <w:t>изменение благосостояния, образа жизни, ценностей потребителя (изменения в рамках концепции вводимого товара — потенциал есть)</w:t>
      </w:r>
    </w:p>
    <w:p w:rsidR="000B0B27" w:rsidRPr="00D10148" w:rsidRDefault="000B0B27" w:rsidP="000B0B27">
      <w:pPr>
        <w:numPr>
          <w:ilvl w:val="0"/>
          <w:numId w:val="8"/>
        </w:numPr>
        <w:ind w:left="0"/>
        <w:jc w:val="both"/>
        <w:rPr>
          <w:rFonts w:ascii="Times New Roman" w:hAnsi="Times New Roman"/>
          <w:sz w:val="24"/>
        </w:rPr>
      </w:pPr>
      <w:r w:rsidRPr="00D10148">
        <w:rPr>
          <w:rFonts w:ascii="Times New Roman" w:hAnsi="Times New Roman"/>
          <w:sz w:val="24"/>
        </w:rPr>
        <w:t>изменение технологий производства</w:t>
      </w:r>
    </w:p>
    <w:p w:rsidR="000B0B27" w:rsidRPr="00D10148" w:rsidRDefault="000B0B27" w:rsidP="000B0B27">
      <w:pPr>
        <w:numPr>
          <w:ilvl w:val="0"/>
          <w:numId w:val="8"/>
        </w:numPr>
        <w:ind w:left="0"/>
        <w:jc w:val="both"/>
        <w:rPr>
          <w:rFonts w:ascii="Times New Roman" w:hAnsi="Times New Roman"/>
          <w:sz w:val="24"/>
        </w:rPr>
      </w:pPr>
      <w:r w:rsidRPr="00D10148">
        <w:rPr>
          <w:rFonts w:ascii="Times New Roman" w:hAnsi="Times New Roman"/>
          <w:sz w:val="24"/>
        </w:rPr>
        <w:t>изменение экономического и политического климата на рынка</w:t>
      </w:r>
    </w:p>
    <w:p w:rsidR="000B0B27" w:rsidRPr="00D10148" w:rsidRDefault="000B0B27" w:rsidP="000B0B27">
      <w:pPr>
        <w:numPr>
          <w:ilvl w:val="0"/>
          <w:numId w:val="8"/>
        </w:numPr>
        <w:ind w:left="0"/>
        <w:jc w:val="both"/>
        <w:rPr>
          <w:rFonts w:ascii="Times New Roman" w:hAnsi="Times New Roman"/>
          <w:sz w:val="24"/>
        </w:rPr>
      </w:pPr>
      <w:r w:rsidRPr="00D10148">
        <w:rPr>
          <w:rFonts w:ascii="Times New Roman" w:hAnsi="Times New Roman"/>
          <w:sz w:val="24"/>
        </w:rPr>
        <w:t>возможные изменения в конкурентном окружении сегмента</w:t>
      </w:r>
    </w:p>
    <w:p w:rsidR="000B0B27" w:rsidRPr="00D10148" w:rsidRDefault="000B0B27" w:rsidP="000B0B27">
      <w:pPr>
        <w:numPr>
          <w:ilvl w:val="0"/>
          <w:numId w:val="8"/>
        </w:numPr>
        <w:ind w:left="0"/>
        <w:jc w:val="both"/>
        <w:rPr>
          <w:rFonts w:ascii="Times New Roman" w:hAnsi="Times New Roman"/>
          <w:sz w:val="24"/>
        </w:rPr>
      </w:pPr>
      <w:r w:rsidRPr="00D10148">
        <w:rPr>
          <w:rFonts w:ascii="Times New Roman" w:hAnsi="Times New Roman"/>
          <w:sz w:val="24"/>
        </w:rPr>
        <w:t>потенциал расширения ассортимента и т.п.</w:t>
      </w:r>
    </w:p>
    <w:p w:rsidR="000B0B27" w:rsidRPr="00D10148" w:rsidRDefault="000B0B27" w:rsidP="000B0B27">
      <w:pPr>
        <w:pStyle w:val="a3"/>
        <w:spacing w:before="0" w:beforeAutospacing="0" w:after="0" w:afterAutospacing="0"/>
        <w:jc w:val="both"/>
        <w:rPr>
          <w:rFonts w:ascii="Helvetica" w:hAnsi="Helvetica" w:cs="Helvetica"/>
          <w:sz w:val="26"/>
          <w:szCs w:val="26"/>
        </w:rPr>
      </w:pPr>
      <w:r w:rsidRPr="00D10148">
        <w:t>После того, как конкурентоспособность каждой товарной группы компании проанализирована и выявлены привлекательные рыночные ниши, можно переходить к разработке стратегий развития товаров. Для каждого квадранта матрицы существует четкая стратегия.</w:t>
      </w:r>
    </w:p>
    <w:p w:rsidR="000B0B27" w:rsidRPr="00D10148" w:rsidRDefault="000B0B27" w:rsidP="000B0B27">
      <w:pPr>
        <w:shd w:val="clear" w:color="auto" w:fill="FFFFFF"/>
        <w:jc w:val="both"/>
        <w:rPr>
          <w:rFonts w:ascii="Times New Roman" w:hAnsi="Times New Roman"/>
          <w:b/>
          <w:spacing w:val="-3"/>
          <w:sz w:val="24"/>
        </w:rPr>
      </w:pPr>
    </w:p>
    <w:p w:rsidR="000B0B27" w:rsidRPr="00D10148" w:rsidRDefault="000B0B27" w:rsidP="000B0B27">
      <w:pPr>
        <w:shd w:val="clear" w:color="auto" w:fill="FFFFFF"/>
        <w:jc w:val="both"/>
        <w:rPr>
          <w:rFonts w:ascii="Times New Roman" w:hAnsi="Times New Roman"/>
          <w:b/>
          <w:spacing w:val="-3"/>
          <w:sz w:val="24"/>
          <w:lang w:val="kk-KZ"/>
        </w:rPr>
      </w:pPr>
    </w:p>
    <w:p w:rsidR="000B0B27" w:rsidRPr="00D10148" w:rsidRDefault="000B0B27" w:rsidP="000B0B27">
      <w:pPr>
        <w:shd w:val="clear" w:color="auto" w:fill="FFFFFF"/>
        <w:jc w:val="both"/>
        <w:rPr>
          <w:rFonts w:ascii="Times New Roman" w:hAnsi="Times New Roman"/>
          <w:b/>
          <w:spacing w:val="-3"/>
          <w:sz w:val="24"/>
          <w:lang w:val="kk-KZ"/>
        </w:rPr>
      </w:pPr>
    </w:p>
    <w:p w:rsidR="000B0B27" w:rsidRPr="00D10148" w:rsidRDefault="000B0B27" w:rsidP="000B0B27">
      <w:pPr>
        <w:shd w:val="clear" w:color="auto" w:fill="FFFFFF"/>
        <w:jc w:val="both"/>
        <w:rPr>
          <w:rFonts w:ascii="Times New Roman" w:hAnsi="Times New Roman"/>
          <w:b/>
          <w:spacing w:val="-3"/>
          <w:sz w:val="24"/>
          <w:lang w:val="kk-KZ"/>
        </w:rPr>
      </w:pPr>
    </w:p>
    <w:p w:rsidR="000B0B27" w:rsidRPr="00D10148" w:rsidRDefault="000B0B27" w:rsidP="000B0B27">
      <w:pPr>
        <w:shd w:val="clear" w:color="auto" w:fill="FFFFFF"/>
        <w:jc w:val="both"/>
        <w:rPr>
          <w:rFonts w:ascii="Times New Roman" w:hAnsi="Times New Roman"/>
          <w:b/>
          <w:spacing w:val="-3"/>
          <w:sz w:val="24"/>
          <w:lang w:val="kk-KZ"/>
        </w:rPr>
      </w:pPr>
    </w:p>
    <w:p w:rsidR="000B0B27" w:rsidRPr="00D10148" w:rsidRDefault="000B0B27" w:rsidP="000B0B27">
      <w:pPr>
        <w:shd w:val="clear" w:color="auto" w:fill="FFFFFF"/>
        <w:jc w:val="both"/>
        <w:rPr>
          <w:rFonts w:ascii="Times New Roman" w:hAnsi="Times New Roman"/>
          <w:b/>
          <w:spacing w:val="-3"/>
          <w:sz w:val="24"/>
          <w:lang w:val="kk-KZ"/>
        </w:rPr>
      </w:pPr>
    </w:p>
    <w:p w:rsidR="000B0B27" w:rsidRPr="00D10148" w:rsidRDefault="000B0B27" w:rsidP="000B0B27">
      <w:pPr>
        <w:shd w:val="clear" w:color="auto" w:fill="FFFFFF"/>
        <w:jc w:val="both"/>
        <w:rPr>
          <w:rFonts w:ascii="Times New Roman" w:hAnsi="Times New Roman"/>
          <w:b/>
          <w:spacing w:val="-3"/>
          <w:sz w:val="24"/>
          <w:lang w:val="kk-KZ"/>
        </w:rPr>
      </w:pPr>
    </w:p>
    <w:p w:rsidR="000B0B27" w:rsidRPr="00D10148" w:rsidRDefault="000B0B27" w:rsidP="000B0B27">
      <w:pPr>
        <w:shd w:val="clear" w:color="auto" w:fill="FFFFFF"/>
        <w:jc w:val="both"/>
        <w:rPr>
          <w:rFonts w:ascii="Times New Roman" w:hAnsi="Times New Roman"/>
          <w:b/>
          <w:spacing w:val="-3"/>
          <w:sz w:val="24"/>
          <w:lang w:val="kk-KZ"/>
        </w:rPr>
      </w:pPr>
    </w:p>
    <w:p w:rsidR="000B0B27" w:rsidRPr="00D10148" w:rsidRDefault="000B0B27" w:rsidP="000B0B27">
      <w:pPr>
        <w:shd w:val="clear" w:color="auto" w:fill="FFFFFF"/>
        <w:jc w:val="both"/>
        <w:rPr>
          <w:rFonts w:ascii="Times New Roman" w:hAnsi="Times New Roman"/>
          <w:b/>
          <w:spacing w:val="-3"/>
          <w:sz w:val="24"/>
          <w:lang w:val="kk-KZ"/>
        </w:rPr>
      </w:pPr>
    </w:p>
    <w:p w:rsidR="000B0B27" w:rsidRPr="00D10148" w:rsidRDefault="000B0B27" w:rsidP="000B0B27">
      <w:pPr>
        <w:shd w:val="clear" w:color="auto" w:fill="FFFFFF"/>
        <w:jc w:val="both"/>
        <w:rPr>
          <w:rFonts w:ascii="Times New Roman" w:hAnsi="Times New Roman"/>
          <w:b/>
          <w:spacing w:val="-3"/>
          <w:sz w:val="24"/>
          <w:lang w:val="kk-KZ"/>
        </w:rPr>
      </w:pPr>
    </w:p>
    <w:p w:rsidR="000B0B27" w:rsidRPr="00D10148" w:rsidRDefault="000B0B27" w:rsidP="000B0B27">
      <w:pPr>
        <w:shd w:val="clear" w:color="auto" w:fill="FFFFFF"/>
        <w:jc w:val="both"/>
        <w:rPr>
          <w:rFonts w:ascii="Times New Roman" w:hAnsi="Times New Roman"/>
          <w:b/>
          <w:spacing w:val="-3"/>
          <w:sz w:val="24"/>
          <w:lang w:val="kk-KZ"/>
        </w:rPr>
      </w:pPr>
    </w:p>
    <w:p w:rsidR="000B0B27" w:rsidRPr="00D10148" w:rsidRDefault="000B0B27" w:rsidP="000B0B27">
      <w:pPr>
        <w:shd w:val="clear" w:color="auto" w:fill="FFFFFF"/>
        <w:jc w:val="both"/>
        <w:rPr>
          <w:rFonts w:ascii="Times New Roman" w:hAnsi="Times New Roman"/>
          <w:b/>
          <w:spacing w:val="-3"/>
          <w:sz w:val="24"/>
          <w:lang w:val="kk-KZ"/>
        </w:rPr>
      </w:pPr>
    </w:p>
    <w:p w:rsidR="000B0B27" w:rsidRPr="00D10148" w:rsidRDefault="000B0B27" w:rsidP="000B0B27">
      <w:pPr>
        <w:shd w:val="clear" w:color="auto" w:fill="FFFFFF"/>
        <w:jc w:val="both"/>
        <w:rPr>
          <w:rFonts w:ascii="Times New Roman" w:hAnsi="Times New Roman"/>
          <w:b/>
          <w:spacing w:val="-3"/>
          <w:sz w:val="24"/>
          <w:lang w:val="kk-KZ"/>
        </w:rPr>
      </w:pPr>
    </w:p>
    <w:p w:rsidR="00BD6049" w:rsidRDefault="00BD6049">
      <w:bookmarkStart w:id="5" w:name="_GoBack"/>
      <w:bookmarkEnd w:id="5"/>
    </w:p>
    <w:sectPr w:rsidR="00BD6049">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Kz Times New Roman">
    <w:altName w:val="Times New Roman"/>
    <w:charset w:val="CC"/>
    <w:family w:val="roman"/>
    <w:pitch w:val="variable"/>
    <w:sig w:usb0="A0007AAF" w:usb1="4000387A" w:usb2="00000028" w:usb3="00000000" w:csb0="000001FF" w:csb1="00000000"/>
  </w:font>
  <w:font w:name="Cambria">
    <w:panose1 w:val="02040503050406030204"/>
    <w:charset w:val="CC"/>
    <w:family w:val="roman"/>
    <w:pitch w:val="variable"/>
    <w:sig w:usb0="E00002FF" w:usb1="400004FF" w:usb2="00000000" w:usb3="00000000" w:csb0="0000019F" w:csb1="00000000"/>
  </w:font>
  <w:font w:name="Helvetica">
    <w:panose1 w:val="020B0604020202020204"/>
    <w:charset w:val="00"/>
    <w:family w:val="swiss"/>
    <w:notTrueType/>
    <w:pitch w:val="variable"/>
    <w:sig w:usb0="00000003" w:usb1="00000000" w:usb2="00000000" w:usb3="00000000" w:csb0="00000001"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48E6303"/>
    <w:multiLevelType w:val="multilevel"/>
    <w:tmpl w:val="8E560A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B60006C"/>
    <w:multiLevelType w:val="multilevel"/>
    <w:tmpl w:val="B082E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DA105C4"/>
    <w:multiLevelType w:val="multilevel"/>
    <w:tmpl w:val="CF405C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1A9F7F07"/>
    <w:multiLevelType w:val="multilevel"/>
    <w:tmpl w:val="15C697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3D616CB2"/>
    <w:multiLevelType w:val="multilevel"/>
    <w:tmpl w:val="5F744B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50D66921"/>
    <w:multiLevelType w:val="multilevel"/>
    <w:tmpl w:val="DF94AC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60DE6D48"/>
    <w:multiLevelType w:val="multilevel"/>
    <w:tmpl w:val="47A010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7C6631A0"/>
    <w:multiLevelType w:val="multilevel"/>
    <w:tmpl w:val="090C56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3"/>
  </w:num>
  <w:num w:numId="2">
    <w:abstractNumId w:val="2"/>
  </w:num>
  <w:num w:numId="3">
    <w:abstractNumId w:val="6"/>
  </w:num>
  <w:num w:numId="4">
    <w:abstractNumId w:val="7"/>
  </w:num>
  <w:num w:numId="5">
    <w:abstractNumId w:val="5"/>
  </w:num>
  <w:num w:numId="6">
    <w:abstractNumId w:val="1"/>
  </w:num>
  <w:num w:numId="7">
    <w:abstractNumId w:val="0"/>
  </w:num>
  <w:num w:numId="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6"/>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126AB"/>
    <w:rsid w:val="000B0B27"/>
    <w:rsid w:val="007126AB"/>
    <w:rsid w:val="00BD604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8917EC4-FF39-4189-B66B-2D44010768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0B0B27"/>
    <w:pPr>
      <w:spacing w:after="0" w:line="240" w:lineRule="auto"/>
    </w:pPr>
    <w:rPr>
      <w:rFonts w:ascii="Arial" w:eastAsia="Times New Roman" w:hAnsi="Arial" w:cs="Times New Roman"/>
      <w:sz w:val="28"/>
      <w:szCs w:val="24"/>
      <w:lang w:eastAsia="ru-RU"/>
    </w:rPr>
  </w:style>
  <w:style w:type="paragraph" w:styleId="2">
    <w:name w:val="heading 2"/>
    <w:basedOn w:val="a"/>
    <w:next w:val="a"/>
    <w:link w:val="20"/>
    <w:qFormat/>
    <w:rsid w:val="000B0B27"/>
    <w:pPr>
      <w:keepNext/>
      <w:ind w:firstLine="567"/>
      <w:jc w:val="center"/>
      <w:outlineLvl w:val="1"/>
    </w:pPr>
    <w:rPr>
      <w:rFonts w:ascii="Kz Times New Roman" w:hAnsi="Kz Times New Roman"/>
      <w:b/>
      <w:bCs/>
      <w:sz w:val="24"/>
      <w:lang w:val="kk-KZ"/>
    </w:rPr>
  </w:style>
  <w:style w:type="paragraph" w:styleId="3">
    <w:name w:val="heading 3"/>
    <w:basedOn w:val="a"/>
    <w:next w:val="a"/>
    <w:link w:val="30"/>
    <w:unhideWhenUsed/>
    <w:qFormat/>
    <w:rsid w:val="000B0B27"/>
    <w:pPr>
      <w:keepNext/>
      <w:keepLines/>
      <w:spacing w:before="200"/>
      <w:outlineLvl w:val="2"/>
    </w:pPr>
    <w:rPr>
      <w:rFonts w:ascii="Cambria" w:hAnsi="Cambria"/>
      <w:b/>
      <w:bCs/>
      <w:color w:val="4F81BD"/>
      <w:sz w:val="24"/>
    </w:rPr>
  </w:style>
  <w:style w:type="paragraph" w:styleId="4">
    <w:name w:val="heading 4"/>
    <w:basedOn w:val="a"/>
    <w:next w:val="a"/>
    <w:link w:val="40"/>
    <w:qFormat/>
    <w:rsid w:val="000B0B27"/>
    <w:pPr>
      <w:keepNext/>
      <w:jc w:val="center"/>
      <w:outlineLvl w:val="3"/>
    </w:pPr>
    <w:rPr>
      <w:rFonts w:ascii="Times New Roman" w:hAnsi="Times New Roman"/>
      <w:sz w:val="32"/>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rsid w:val="000B0B27"/>
    <w:rPr>
      <w:rFonts w:ascii="Kz Times New Roman" w:eastAsia="Times New Roman" w:hAnsi="Kz Times New Roman" w:cs="Times New Roman"/>
      <w:b/>
      <w:bCs/>
      <w:sz w:val="24"/>
      <w:szCs w:val="24"/>
      <w:lang w:val="kk-KZ" w:eastAsia="ru-RU"/>
    </w:rPr>
  </w:style>
  <w:style w:type="character" w:customStyle="1" w:styleId="30">
    <w:name w:val="Заголовок 3 Знак"/>
    <w:basedOn w:val="a0"/>
    <w:link w:val="3"/>
    <w:rsid w:val="000B0B27"/>
    <w:rPr>
      <w:rFonts w:ascii="Cambria" w:eastAsia="Times New Roman" w:hAnsi="Cambria" w:cs="Times New Roman"/>
      <w:b/>
      <w:bCs/>
      <w:color w:val="4F81BD"/>
      <w:sz w:val="24"/>
      <w:szCs w:val="24"/>
      <w:lang w:eastAsia="ru-RU"/>
    </w:rPr>
  </w:style>
  <w:style w:type="character" w:customStyle="1" w:styleId="40">
    <w:name w:val="Заголовок 4 Знак"/>
    <w:basedOn w:val="a0"/>
    <w:link w:val="4"/>
    <w:rsid w:val="000B0B27"/>
    <w:rPr>
      <w:rFonts w:ascii="Times New Roman" w:eastAsia="Times New Roman" w:hAnsi="Times New Roman" w:cs="Times New Roman"/>
      <w:sz w:val="32"/>
      <w:szCs w:val="28"/>
      <w:lang w:eastAsia="ru-RU"/>
    </w:rPr>
  </w:style>
  <w:style w:type="paragraph" w:styleId="a3">
    <w:name w:val="Normal (Web)"/>
    <w:basedOn w:val="a"/>
    <w:uiPriority w:val="99"/>
    <w:rsid w:val="000B0B27"/>
    <w:pPr>
      <w:spacing w:before="100" w:beforeAutospacing="1" w:after="100" w:afterAutospacing="1"/>
    </w:pPr>
    <w:rPr>
      <w:rFonts w:ascii="Times New Roman" w:hAnsi="Times New Roman"/>
      <w:sz w:val="24"/>
    </w:rPr>
  </w:style>
  <w:style w:type="character" w:customStyle="1" w:styleId="apple-converted-space">
    <w:name w:val="apple-converted-space"/>
    <w:basedOn w:val="a0"/>
    <w:rsid w:val="000B0B27"/>
  </w:style>
  <w:style w:type="character" w:styleId="a4">
    <w:name w:val="Strong"/>
    <w:basedOn w:val="a0"/>
    <w:uiPriority w:val="22"/>
    <w:qFormat/>
    <w:rsid w:val="000B0B27"/>
    <w:rPr>
      <w:b/>
      <w:bCs/>
    </w:rPr>
  </w:style>
  <w:style w:type="character" w:styleId="a5">
    <w:name w:val="Hyperlink"/>
    <w:uiPriority w:val="99"/>
    <w:rsid w:val="000B0B27"/>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powerbranding.ru/biznes-analiz/matrica-mckinsey/praktika/"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jpeg"/><Relationship Id="rId12" Type="http://schemas.openxmlformats.org/officeDocument/2006/relationships/hyperlink" Target="http://powerbranding.ru/video/competitve-advantage-kurs/"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hyperlink" Target="http://powerbranding.ru/rynok/metod-rascheta-emkosti/" TargetMode="External"/><Relationship Id="rId5" Type="http://schemas.openxmlformats.org/officeDocument/2006/relationships/image" Target="media/image1.jpeg"/><Relationship Id="rId10" Type="http://schemas.openxmlformats.org/officeDocument/2006/relationships/hyperlink" Target="http://powerbranding.ru/marketing_lessons/swot-analisys/" TargetMode="External"/><Relationship Id="rId4" Type="http://schemas.openxmlformats.org/officeDocument/2006/relationships/webSettings" Target="webSettings.xml"/><Relationship Id="rId9" Type="http://schemas.openxmlformats.org/officeDocument/2006/relationships/image" Target="media/image4.png"/><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9</Pages>
  <Words>3389</Words>
  <Characters>19323</Characters>
  <Application>Microsoft Office Word</Application>
  <DocSecurity>0</DocSecurity>
  <Lines>161</Lines>
  <Paragraphs>45</Paragraphs>
  <ScaleCrop>false</ScaleCrop>
  <Company/>
  <LinksUpToDate>false</LinksUpToDate>
  <CharactersWithSpaces>22667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2024-11-08T08:10:00Z</dcterms:created>
  <dcterms:modified xsi:type="dcterms:W3CDTF">2024-11-08T08:10:00Z</dcterms:modified>
</cp:coreProperties>
</file>